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7E4" w:rsidRPr="00C877E4" w:rsidRDefault="00C877E4" w:rsidP="001F154A">
      <w:pPr>
        <w:spacing w:line="240" w:lineRule="auto"/>
        <w:rPr>
          <w:rFonts w:ascii="Cambria" w:eastAsia="Calibri" w:hAnsi="Cambria" w:cs="Times New Roman"/>
          <w:sz w:val="8"/>
          <w:szCs w:val="8"/>
        </w:rPr>
      </w:pPr>
      <w:r>
        <w:rPr>
          <w:rFonts w:ascii="Cambria" w:eastAsia="Calibri" w:hAnsi="Cambria" w:cs="Times New Roman"/>
          <w:noProof/>
          <w:sz w:val="8"/>
          <w:szCs w:val="8"/>
        </w:rPr>
        <w:drawing>
          <wp:inline distT="0" distB="0" distL="0" distR="0">
            <wp:extent cx="7119605" cy="706932"/>
            <wp:effectExtent l="19050" t="19050" r="24765"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CS-Restart-Header.jpg"/>
                    <pic:cNvPicPr/>
                  </pic:nvPicPr>
                  <pic:blipFill>
                    <a:blip r:embed="rId8">
                      <a:extLst>
                        <a:ext uri="{28A0092B-C50C-407E-A947-70E740481C1C}">
                          <a14:useLocalDpi xmlns:a14="http://schemas.microsoft.com/office/drawing/2010/main" val="0"/>
                        </a:ext>
                      </a:extLst>
                    </a:blip>
                    <a:stretch>
                      <a:fillRect/>
                    </a:stretch>
                  </pic:blipFill>
                  <pic:spPr>
                    <a:xfrm>
                      <a:off x="0" y="0"/>
                      <a:ext cx="7203468" cy="715259"/>
                    </a:xfrm>
                    <a:prstGeom prst="rect">
                      <a:avLst/>
                    </a:prstGeom>
                    <a:ln>
                      <a:solidFill>
                        <a:schemeClr val="tx1"/>
                      </a:solidFill>
                    </a:ln>
                  </pic:spPr>
                </pic:pic>
              </a:graphicData>
            </a:graphic>
          </wp:inline>
        </w:drawing>
      </w:r>
    </w:p>
    <w:p w:rsidR="00C877E4" w:rsidRPr="00073F37" w:rsidRDefault="00C877E4" w:rsidP="00113735">
      <w:pPr>
        <w:spacing w:line="240" w:lineRule="auto"/>
        <w:rPr>
          <w:rFonts w:ascii="Cambria" w:eastAsia="Calibri" w:hAnsi="Cambria" w:cs="Times New Roman"/>
          <w:sz w:val="16"/>
          <w:szCs w:val="16"/>
        </w:rPr>
      </w:pPr>
    </w:p>
    <w:p w:rsidR="002C26C4" w:rsidRPr="002C26C4" w:rsidRDefault="002C26C4" w:rsidP="002C26C4">
      <w:pPr>
        <w:spacing w:line="240" w:lineRule="auto"/>
        <w:rPr>
          <w:rFonts w:ascii="Cambria" w:eastAsia="Calibri" w:hAnsi="Cambria" w:cs="Times New Roman"/>
          <w:sz w:val="18"/>
          <w:szCs w:val="18"/>
        </w:rPr>
      </w:pPr>
      <w:r w:rsidRPr="002C26C4">
        <w:rPr>
          <w:rFonts w:ascii="Cambria" w:eastAsia="Calibri" w:hAnsi="Cambria" w:cs="Times New Roman"/>
          <w:sz w:val="18"/>
          <w:szCs w:val="18"/>
        </w:rPr>
        <w:t xml:space="preserve">The Coronavirus Disease 2019 (COVID-19) pandemic still presents risk to </w:t>
      </w:r>
      <w:proofErr w:type="gramStart"/>
      <w:r w:rsidRPr="002C26C4">
        <w:rPr>
          <w:rFonts w:ascii="Cambria" w:eastAsia="Calibri" w:hAnsi="Cambria" w:cs="Times New Roman"/>
          <w:sz w:val="18"/>
          <w:szCs w:val="18"/>
        </w:rPr>
        <w:t>DoD</w:t>
      </w:r>
      <w:proofErr w:type="gramEnd"/>
      <w:r w:rsidRPr="002C26C4">
        <w:rPr>
          <w:rFonts w:ascii="Cambria" w:eastAsia="Calibri" w:hAnsi="Cambria" w:cs="Times New Roman"/>
          <w:sz w:val="18"/>
          <w:szCs w:val="18"/>
        </w:rPr>
        <w:t xml:space="preserve"> Service members, civilians, and their families.  The OSD directed stop-movement order has impacted 42,000 Sailors who had orders between March and July 2020.  The </w:t>
      </w:r>
      <w:r w:rsidR="00A2724C">
        <w:rPr>
          <w:rFonts w:ascii="Cambria" w:eastAsia="Calibri" w:hAnsi="Cambria" w:cs="Times New Roman"/>
          <w:sz w:val="18"/>
          <w:szCs w:val="18"/>
        </w:rPr>
        <w:t>Military</w:t>
      </w:r>
      <w:r w:rsidRPr="002C26C4">
        <w:rPr>
          <w:rFonts w:ascii="Cambria" w:eastAsia="Calibri" w:hAnsi="Cambria" w:cs="Times New Roman"/>
          <w:sz w:val="18"/>
          <w:szCs w:val="18"/>
        </w:rPr>
        <w:t xml:space="preserve"> is taking a conditions-based, phased approach to restarti</w:t>
      </w:r>
      <w:r>
        <w:rPr>
          <w:rFonts w:ascii="Cambria" w:eastAsia="Calibri" w:hAnsi="Cambria" w:cs="Times New Roman"/>
          <w:sz w:val="18"/>
          <w:szCs w:val="18"/>
        </w:rPr>
        <w:t xml:space="preserve">ng PCS moves as instructed in </w:t>
      </w:r>
      <w:r w:rsidRPr="002C26C4">
        <w:rPr>
          <w:rFonts w:ascii="Cambria" w:eastAsia="Calibri" w:hAnsi="Cambria" w:cs="Times New Roman"/>
          <w:sz w:val="18"/>
          <w:szCs w:val="18"/>
        </w:rPr>
        <w:t xml:space="preserve">memo from the Office of </w:t>
      </w:r>
      <w:r w:rsidR="00A2724C">
        <w:rPr>
          <w:rFonts w:ascii="Cambria" w:eastAsia="Calibri" w:hAnsi="Cambria" w:cs="Times New Roman"/>
          <w:sz w:val="18"/>
          <w:szCs w:val="18"/>
        </w:rPr>
        <w:t>the Secretary of Defense (OSD (</w:t>
      </w:r>
      <w:r w:rsidRPr="002C26C4">
        <w:rPr>
          <w:rFonts w:ascii="Cambria" w:eastAsia="Calibri" w:hAnsi="Cambria" w:cs="Times New Roman"/>
          <w:sz w:val="18"/>
          <w:szCs w:val="18"/>
        </w:rPr>
        <w:t>link below)</w:t>
      </w:r>
      <w:r w:rsidR="002C34FB">
        <w:rPr>
          <w:rFonts w:ascii="Cambria" w:eastAsia="Calibri" w:hAnsi="Cambria" w:cs="Times New Roman"/>
          <w:sz w:val="18"/>
          <w:szCs w:val="18"/>
        </w:rPr>
        <w:t>)</w:t>
      </w:r>
      <w:r w:rsidRPr="002C26C4">
        <w:rPr>
          <w:rFonts w:ascii="Cambria" w:eastAsia="Calibri" w:hAnsi="Cambria" w:cs="Times New Roman"/>
          <w:sz w:val="18"/>
          <w:szCs w:val="18"/>
        </w:rPr>
        <w:t>.</w:t>
      </w:r>
    </w:p>
    <w:p w:rsidR="002C26C4" w:rsidRPr="00073F37" w:rsidRDefault="002C26C4" w:rsidP="002C26C4">
      <w:pPr>
        <w:spacing w:line="240" w:lineRule="auto"/>
        <w:rPr>
          <w:rFonts w:ascii="Cambria" w:eastAsia="Calibri" w:hAnsi="Cambria" w:cs="Times New Roman"/>
          <w:sz w:val="16"/>
          <w:szCs w:val="16"/>
        </w:rPr>
      </w:pPr>
    </w:p>
    <w:p w:rsidR="00FF04D9" w:rsidRDefault="002C26C4" w:rsidP="002C26C4">
      <w:pPr>
        <w:spacing w:line="240" w:lineRule="auto"/>
        <w:rPr>
          <w:rFonts w:ascii="Cambria" w:eastAsia="Calibri" w:hAnsi="Cambria" w:cs="Times New Roman"/>
          <w:sz w:val="18"/>
          <w:szCs w:val="18"/>
        </w:rPr>
      </w:pPr>
      <w:r w:rsidRPr="002C26C4">
        <w:rPr>
          <w:rFonts w:ascii="Cambria" w:eastAsia="Calibri" w:hAnsi="Cambria" w:cs="Times New Roman"/>
          <w:sz w:val="18"/>
          <w:szCs w:val="18"/>
        </w:rPr>
        <w:t>In order to maximize fleet readiness, high priority sea duty units will be manned first so that they are ready to preserve maritime superiority and execute national tasking.  This means that the order of PCS moves will be based on the impacts to readiness rather than Projected Rotation Dates for those transferring.  The priority of assignments starts with operational sea duty and ends with shore duty in the continental U.S.  Because of this prioritization, Sailor’s departure dates may either be delayed or accelerated.  Navy Personnel Command (NPC) will work with the member, gaining and losing command to evaluate potential hardships and impacts on readiness.</w:t>
      </w:r>
    </w:p>
    <w:p w:rsidR="002C26C4" w:rsidRPr="00073F37" w:rsidRDefault="002C26C4" w:rsidP="002C26C4">
      <w:pPr>
        <w:spacing w:line="240" w:lineRule="auto"/>
        <w:rPr>
          <w:rFonts w:ascii="Cambria" w:eastAsia="Calibri" w:hAnsi="Cambria" w:cs="Times New Roman"/>
          <w:sz w:val="16"/>
          <w:szCs w:val="16"/>
        </w:rPr>
      </w:pPr>
    </w:p>
    <w:tbl>
      <w:tblPr>
        <w:tblStyle w:val="TableGrid2"/>
        <w:tblW w:w="0" w:type="auto"/>
        <w:tblLook w:val="04A0" w:firstRow="1" w:lastRow="0" w:firstColumn="1" w:lastColumn="0" w:noHBand="0" w:noVBand="1"/>
      </w:tblPr>
      <w:tblGrid>
        <w:gridCol w:w="3198"/>
        <w:gridCol w:w="2287"/>
        <w:gridCol w:w="2250"/>
        <w:gridCol w:w="3487"/>
      </w:tblGrid>
      <w:tr w:rsidR="004D220C" w:rsidRPr="004D220C" w:rsidTr="004D220C">
        <w:trPr>
          <w:trHeight w:val="431"/>
        </w:trPr>
        <w:tc>
          <w:tcPr>
            <w:tcW w:w="11222" w:type="dxa"/>
            <w:gridSpan w:val="4"/>
            <w:shd w:val="clear" w:color="auto" w:fill="00273B"/>
            <w:vAlign w:val="center"/>
          </w:tcPr>
          <w:p w:rsidR="004D220C" w:rsidRPr="004D220C" w:rsidRDefault="004D220C" w:rsidP="004D220C">
            <w:pPr>
              <w:jc w:val="center"/>
              <w:rPr>
                <w:rFonts w:ascii="Cambria" w:hAnsi="Cambria"/>
                <w:b/>
                <w:spacing w:val="20"/>
                <w:sz w:val="30"/>
                <w:szCs w:val="30"/>
              </w:rPr>
            </w:pPr>
            <w:r w:rsidRPr="004D220C">
              <w:rPr>
                <w:rFonts w:ascii="Cambria" w:hAnsi="Cambria"/>
                <w:b/>
                <w:color w:val="E8B010"/>
                <w:spacing w:val="20"/>
                <w:sz w:val="30"/>
                <w:szCs w:val="30"/>
              </w:rPr>
              <w:t>Permanent Change of Station (PCS) Information</w:t>
            </w:r>
          </w:p>
        </w:tc>
      </w:tr>
      <w:tr w:rsidR="004D220C" w:rsidRPr="004D220C" w:rsidTr="00073F37">
        <w:tc>
          <w:tcPr>
            <w:tcW w:w="3198" w:type="dxa"/>
            <w:shd w:val="clear" w:color="auto" w:fill="E8B010"/>
          </w:tcPr>
          <w:p w:rsidR="004D220C" w:rsidRPr="004D220C" w:rsidRDefault="004D220C" w:rsidP="004D220C">
            <w:pPr>
              <w:jc w:val="center"/>
              <w:rPr>
                <w:rFonts w:ascii="Cambria" w:hAnsi="Cambria"/>
                <w:b/>
                <w:spacing w:val="20"/>
                <w:sz w:val="22"/>
              </w:rPr>
            </w:pPr>
            <w:r w:rsidRPr="004D220C">
              <w:rPr>
                <w:rFonts w:ascii="Cambria" w:hAnsi="Cambria"/>
                <w:b/>
                <w:spacing w:val="20"/>
                <w:sz w:val="22"/>
              </w:rPr>
              <w:t>Backlog of Moves</w:t>
            </w:r>
          </w:p>
        </w:tc>
        <w:tc>
          <w:tcPr>
            <w:tcW w:w="4537" w:type="dxa"/>
            <w:gridSpan w:val="2"/>
            <w:shd w:val="clear" w:color="auto" w:fill="BB8D0D"/>
          </w:tcPr>
          <w:p w:rsidR="004D220C" w:rsidRPr="004D220C" w:rsidRDefault="00DE059B" w:rsidP="004D220C">
            <w:pPr>
              <w:jc w:val="center"/>
              <w:rPr>
                <w:rFonts w:ascii="Cambria" w:hAnsi="Cambria"/>
                <w:b/>
                <w:spacing w:val="20"/>
                <w:sz w:val="22"/>
              </w:rPr>
            </w:pPr>
            <w:r>
              <w:rPr>
                <w:rFonts w:ascii="Cambria" w:hAnsi="Cambria"/>
                <w:b/>
                <w:spacing w:val="20"/>
                <w:sz w:val="22"/>
              </w:rPr>
              <w:t>Billet Prioritization</w:t>
            </w:r>
          </w:p>
        </w:tc>
        <w:tc>
          <w:tcPr>
            <w:tcW w:w="3487" w:type="dxa"/>
            <w:shd w:val="clear" w:color="auto" w:fill="E8B010"/>
          </w:tcPr>
          <w:p w:rsidR="004D220C" w:rsidRPr="004D220C" w:rsidRDefault="004D220C" w:rsidP="004D220C">
            <w:pPr>
              <w:jc w:val="center"/>
              <w:rPr>
                <w:rFonts w:ascii="Cambria" w:hAnsi="Cambria"/>
                <w:b/>
                <w:spacing w:val="20"/>
                <w:sz w:val="22"/>
              </w:rPr>
            </w:pPr>
            <w:r w:rsidRPr="004D220C">
              <w:rPr>
                <w:rFonts w:ascii="Cambria" w:hAnsi="Cambria"/>
                <w:b/>
                <w:spacing w:val="20"/>
                <w:sz w:val="22"/>
              </w:rPr>
              <w:t>Orders</w:t>
            </w:r>
          </w:p>
        </w:tc>
      </w:tr>
      <w:tr w:rsidR="004D220C" w:rsidRPr="004D220C" w:rsidTr="00073F37">
        <w:trPr>
          <w:trHeight w:val="2948"/>
        </w:trPr>
        <w:tc>
          <w:tcPr>
            <w:tcW w:w="3198" w:type="dxa"/>
            <w:tcBorders>
              <w:bottom w:val="single" w:sz="4" w:space="0" w:color="auto"/>
            </w:tcBorders>
          </w:tcPr>
          <w:p w:rsidR="004D220C" w:rsidRPr="004D220C" w:rsidRDefault="004D220C" w:rsidP="004D220C">
            <w:pPr>
              <w:spacing w:line="276" w:lineRule="auto"/>
              <w:ind w:left="144"/>
              <w:contextualSpacing/>
              <w:rPr>
                <w:rFonts w:ascii="Cambria" w:eastAsia="Calibri" w:hAnsi="Cambria" w:cs="Times New Roman"/>
                <w:sz w:val="18"/>
                <w:szCs w:val="18"/>
              </w:rPr>
            </w:pPr>
          </w:p>
          <w:p w:rsidR="004D220C" w:rsidRPr="004D220C" w:rsidRDefault="008E416E" w:rsidP="00330AB5">
            <w:pPr>
              <w:numPr>
                <w:ilvl w:val="0"/>
                <w:numId w:val="3"/>
              </w:numPr>
              <w:contextualSpacing/>
              <w:rPr>
                <w:rFonts w:ascii="Cambria" w:eastAsia="Calibri" w:hAnsi="Cambria" w:cs="Times New Roman"/>
                <w:sz w:val="18"/>
                <w:szCs w:val="18"/>
              </w:rPr>
            </w:pPr>
            <w:r w:rsidRPr="004D220C">
              <w:rPr>
                <w:rFonts w:ascii="Cambria" w:eastAsia="Calibri" w:hAnsi="Cambria" w:cs="Times New Roman"/>
                <w:sz w:val="18"/>
                <w:szCs w:val="18"/>
              </w:rPr>
              <w:t>The Navy’s backlog for PCS moves is 42,000 Sailors</w:t>
            </w:r>
            <w:r w:rsidR="00505E8E">
              <w:rPr>
                <w:rFonts w:ascii="Cambria" w:eastAsia="Calibri" w:hAnsi="Cambria" w:cs="Times New Roman"/>
                <w:sz w:val="18"/>
                <w:szCs w:val="18"/>
              </w:rPr>
              <w:t>.</w:t>
            </w:r>
            <w:r w:rsidRPr="004D220C">
              <w:rPr>
                <w:rFonts w:ascii="Cambria" w:eastAsia="Calibri" w:hAnsi="Cambria" w:cs="Times New Roman"/>
                <w:sz w:val="18"/>
                <w:szCs w:val="18"/>
              </w:rPr>
              <w:t xml:space="preserve"> </w:t>
            </w:r>
          </w:p>
          <w:p w:rsidR="004D220C" w:rsidRPr="000F69D4" w:rsidRDefault="004D220C" w:rsidP="00330AB5">
            <w:pPr>
              <w:ind w:left="144"/>
              <w:contextualSpacing/>
              <w:rPr>
                <w:rFonts w:ascii="Cambria" w:eastAsia="Calibri" w:hAnsi="Cambria" w:cs="Times New Roman"/>
                <w:sz w:val="18"/>
                <w:szCs w:val="18"/>
              </w:rPr>
            </w:pPr>
          </w:p>
          <w:p w:rsidR="004D220C" w:rsidRPr="004D220C" w:rsidRDefault="008E416E" w:rsidP="00330AB5">
            <w:pPr>
              <w:numPr>
                <w:ilvl w:val="0"/>
                <w:numId w:val="3"/>
              </w:numPr>
              <w:contextualSpacing/>
              <w:rPr>
                <w:rFonts w:ascii="Cambria" w:eastAsia="Calibri" w:hAnsi="Cambria" w:cs="Times New Roman"/>
                <w:sz w:val="18"/>
                <w:szCs w:val="18"/>
              </w:rPr>
            </w:pPr>
            <w:r w:rsidRPr="004D220C">
              <w:rPr>
                <w:rFonts w:ascii="Cambria" w:eastAsia="Calibri" w:hAnsi="Cambria" w:cs="Times New Roman"/>
                <w:sz w:val="18"/>
                <w:szCs w:val="18"/>
              </w:rPr>
              <w:t>This backlog is approximately 53% of the Navy’s total moves for this year.</w:t>
            </w:r>
          </w:p>
          <w:p w:rsidR="004D220C" w:rsidRPr="000F69D4" w:rsidRDefault="004D220C" w:rsidP="00330AB5">
            <w:pPr>
              <w:ind w:left="144"/>
              <w:contextualSpacing/>
              <w:rPr>
                <w:rFonts w:ascii="Cambria" w:eastAsia="Calibri" w:hAnsi="Cambria" w:cs="Times New Roman"/>
                <w:sz w:val="18"/>
                <w:szCs w:val="18"/>
              </w:rPr>
            </w:pPr>
          </w:p>
          <w:p w:rsidR="009667D5" w:rsidRPr="004D220C" w:rsidRDefault="008E416E" w:rsidP="00330AB5">
            <w:pPr>
              <w:numPr>
                <w:ilvl w:val="0"/>
                <w:numId w:val="3"/>
              </w:numPr>
              <w:contextualSpacing/>
              <w:rPr>
                <w:rFonts w:ascii="Cambria" w:eastAsia="Calibri" w:hAnsi="Cambria" w:cs="Times New Roman"/>
                <w:sz w:val="18"/>
                <w:szCs w:val="18"/>
              </w:rPr>
            </w:pPr>
            <w:r w:rsidRPr="004D220C">
              <w:rPr>
                <w:rFonts w:ascii="Cambria" w:eastAsia="Calibri" w:hAnsi="Cambria" w:cs="Times New Roman"/>
                <w:sz w:val="18"/>
                <w:szCs w:val="18"/>
              </w:rPr>
              <w:t xml:space="preserve">The backlog of PCS orders created by the stop movement policy </w:t>
            </w:r>
            <w:r w:rsidR="00DA56BB">
              <w:rPr>
                <w:rFonts w:ascii="Cambria" w:eastAsia="Calibri" w:hAnsi="Cambria" w:cs="Times New Roman"/>
                <w:sz w:val="18"/>
                <w:szCs w:val="18"/>
              </w:rPr>
              <w:t xml:space="preserve">could extend beyond the end of </w:t>
            </w:r>
            <w:r w:rsidRPr="004D220C">
              <w:rPr>
                <w:rFonts w:ascii="Cambria" w:eastAsia="Calibri" w:hAnsi="Cambria" w:cs="Times New Roman"/>
                <w:sz w:val="18"/>
                <w:szCs w:val="18"/>
              </w:rPr>
              <w:t>calendar year 2020.</w:t>
            </w:r>
          </w:p>
          <w:p w:rsidR="004D220C" w:rsidRPr="004D220C" w:rsidRDefault="004D220C" w:rsidP="004D220C">
            <w:pPr>
              <w:rPr>
                <w:rFonts w:ascii="Cambria" w:hAnsi="Cambria"/>
                <w:sz w:val="12"/>
                <w:szCs w:val="12"/>
              </w:rPr>
            </w:pPr>
          </w:p>
        </w:tc>
        <w:tc>
          <w:tcPr>
            <w:tcW w:w="4537" w:type="dxa"/>
            <w:gridSpan w:val="2"/>
            <w:vMerge w:val="restart"/>
            <w:tcBorders>
              <w:bottom w:val="single" w:sz="4" w:space="0" w:color="auto"/>
            </w:tcBorders>
            <w:shd w:val="clear" w:color="auto" w:fill="D9D9D9" w:themeFill="background1" w:themeFillShade="D9"/>
          </w:tcPr>
          <w:p w:rsidR="004D220C" w:rsidRPr="000F69D4" w:rsidRDefault="004D220C" w:rsidP="004D220C">
            <w:pPr>
              <w:ind w:left="144"/>
              <w:contextualSpacing/>
              <w:rPr>
                <w:rFonts w:ascii="Cambria" w:eastAsia="Calibri" w:hAnsi="Cambria" w:cs="Times New Roman"/>
                <w:sz w:val="16"/>
                <w:szCs w:val="16"/>
              </w:rPr>
            </w:pPr>
          </w:p>
          <w:p w:rsidR="00D27262" w:rsidRPr="004D220C" w:rsidRDefault="008E416E" w:rsidP="00330AB5">
            <w:pPr>
              <w:numPr>
                <w:ilvl w:val="0"/>
                <w:numId w:val="1"/>
              </w:numPr>
              <w:ind w:left="216" w:hanging="216"/>
              <w:contextualSpacing/>
              <w:rPr>
                <w:rFonts w:ascii="Cambria" w:eastAsia="Calibri" w:hAnsi="Cambria" w:cs="Times New Roman"/>
                <w:sz w:val="18"/>
                <w:szCs w:val="18"/>
              </w:rPr>
            </w:pPr>
            <w:r w:rsidRPr="004D220C">
              <w:rPr>
                <w:rFonts w:ascii="Cambria" w:eastAsia="Calibri" w:hAnsi="Cambria" w:cs="Times New Roman"/>
                <w:sz w:val="18"/>
                <w:szCs w:val="18"/>
              </w:rPr>
              <w:t>Operational sea duty commands, including strategic and special operations forces, Forward Deployed Naval Forces (FDNF) and Optimized Fleet Response Plan (OFRP) units.</w:t>
            </w:r>
          </w:p>
          <w:p w:rsidR="004D220C" w:rsidRPr="000F69D4" w:rsidRDefault="004D220C" w:rsidP="00330AB5">
            <w:pPr>
              <w:rPr>
                <w:rFonts w:ascii="Cambria" w:eastAsia="Calibri" w:hAnsi="Cambria" w:cs="Times New Roman"/>
                <w:sz w:val="10"/>
                <w:szCs w:val="10"/>
              </w:rPr>
            </w:pPr>
          </w:p>
          <w:p w:rsidR="00D27262" w:rsidRPr="004D220C" w:rsidRDefault="008E416E" w:rsidP="00330AB5">
            <w:pPr>
              <w:numPr>
                <w:ilvl w:val="0"/>
                <w:numId w:val="1"/>
              </w:numPr>
              <w:ind w:left="216" w:hanging="216"/>
              <w:contextualSpacing/>
              <w:rPr>
                <w:rFonts w:ascii="Cambria" w:eastAsia="Calibri" w:hAnsi="Cambria" w:cs="Times New Roman"/>
                <w:sz w:val="18"/>
                <w:szCs w:val="18"/>
              </w:rPr>
            </w:pPr>
            <w:r w:rsidRPr="004D220C">
              <w:rPr>
                <w:rFonts w:ascii="Cambria" w:eastAsia="Calibri" w:hAnsi="Cambria" w:cs="Times New Roman"/>
                <w:sz w:val="18"/>
                <w:szCs w:val="18"/>
              </w:rPr>
              <w:t>Personnel with assignments to critical jobs bringing personnel into the Navy and those providing necessary training (such as Recruit Training Command, Officer Training Command, Navy Recruiting Commands, and essential training sites).</w:t>
            </w:r>
          </w:p>
          <w:p w:rsidR="004D220C" w:rsidRPr="000F69D4" w:rsidRDefault="004D220C" w:rsidP="00330AB5">
            <w:pPr>
              <w:rPr>
                <w:rFonts w:ascii="Cambria" w:eastAsia="Calibri" w:hAnsi="Cambria" w:cs="Times New Roman"/>
                <w:sz w:val="10"/>
                <w:szCs w:val="10"/>
              </w:rPr>
            </w:pPr>
          </w:p>
          <w:p w:rsidR="004D220C" w:rsidRPr="004D220C" w:rsidRDefault="008E416E" w:rsidP="00330AB5">
            <w:pPr>
              <w:numPr>
                <w:ilvl w:val="0"/>
                <w:numId w:val="1"/>
              </w:numPr>
              <w:ind w:left="216" w:hanging="216"/>
              <w:contextualSpacing/>
              <w:rPr>
                <w:rFonts w:ascii="Cambria" w:eastAsia="Calibri" w:hAnsi="Cambria" w:cs="Times New Roman"/>
                <w:sz w:val="18"/>
                <w:szCs w:val="18"/>
              </w:rPr>
            </w:pPr>
            <w:r w:rsidRPr="004D220C">
              <w:rPr>
                <w:rFonts w:ascii="Cambria" w:eastAsia="Calibri" w:hAnsi="Cambria" w:cs="Times New Roman"/>
                <w:sz w:val="18"/>
                <w:szCs w:val="18"/>
              </w:rPr>
              <w:t>Officer and enlisted personnel transferring to milestone billets, key billets, special program billets, and students heading t</w:t>
            </w:r>
            <w:r w:rsidR="004D220C" w:rsidRPr="004D220C">
              <w:rPr>
                <w:rFonts w:ascii="Cambria" w:eastAsia="Calibri" w:hAnsi="Cambria" w:cs="Times New Roman"/>
                <w:sz w:val="18"/>
                <w:szCs w:val="18"/>
              </w:rPr>
              <w:t xml:space="preserve">o civilian or service schools. </w:t>
            </w:r>
          </w:p>
          <w:p w:rsidR="004D220C" w:rsidRPr="004D220C" w:rsidRDefault="004D220C" w:rsidP="00330AB5">
            <w:pPr>
              <w:ind w:left="144"/>
              <w:contextualSpacing/>
              <w:rPr>
                <w:rFonts w:ascii="Cambria" w:eastAsia="Calibri" w:hAnsi="Cambria" w:cs="Times New Roman"/>
                <w:sz w:val="8"/>
                <w:szCs w:val="8"/>
              </w:rPr>
            </w:pPr>
          </w:p>
          <w:p w:rsidR="004D220C" w:rsidRPr="004D220C" w:rsidRDefault="004D220C" w:rsidP="00330AB5">
            <w:pPr>
              <w:numPr>
                <w:ilvl w:val="0"/>
                <w:numId w:val="9"/>
              </w:numPr>
              <w:contextualSpacing/>
              <w:rPr>
                <w:rFonts w:ascii="Cambria" w:eastAsia="Calibri" w:hAnsi="Cambria" w:cs="Times New Roman"/>
                <w:sz w:val="18"/>
                <w:szCs w:val="18"/>
              </w:rPr>
            </w:pPr>
            <w:r w:rsidRPr="004D220C">
              <w:rPr>
                <w:rFonts w:ascii="Cambria" w:eastAsia="Calibri" w:hAnsi="Cambria" w:cs="Times New Roman"/>
                <w:sz w:val="18"/>
                <w:szCs w:val="18"/>
              </w:rPr>
              <w:t>Milestone billets are those that jobs that officers must serve at certain points in their career in order to progress.</w:t>
            </w:r>
          </w:p>
          <w:p w:rsidR="004D220C" w:rsidRPr="004D220C" w:rsidRDefault="004D220C" w:rsidP="00330AB5">
            <w:pPr>
              <w:ind w:left="504"/>
              <w:contextualSpacing/>
              <w:rPr>
                <w:rFonts w:ascii="Cambria" w:eastAsia="Calibri" w:hAnsi="Cambria" w:cs="Times New Roman"/>
                <w:sz w:val="8"/>
                <w:szCs w:val="8"/>
              </w:rPr>
            </w:pPr>
          </w:p>
          <w:p w:rsidR="004D220C" w:rsidRPr="004D220C" w:rsidRDefault="004D220C" w:rsidP="00330AB5">
            <w:pPr>
              <w:numPr>
                <w:ilvl w:val="0"/>
                <w:numId w:val="9"/>
              </w:numPr>
              <w:contextualSpacing/>
              <w:rPr>
                <w:rFonts w:ascii="Cambria" w:eastAsia="Calibri" w:hAnsi="Cambria" w:cs="Times New Roman"/>
                <w:sz w:val="18"/>
                <w:szCs w:val="18"/>
              </w:rPr>
            </w:pPr>
            <w:r w:rsidRPr="004D220C">
              <w:rPr>
                <w:rFonts w:ascii="Cambria" w:eastAsia="Calibri" w:hAnsi="Cambria" w:cs="Times New Roman"/>
                <w:sz w:val="18"/>
                <w:szCs w:val="18"/>
              </w:rPr>
              <w:t>Key billets are those considered mission critical for the command.</w:t>
            </w:r>
          </w:p>
          <w:p w:rsidR="004D220C" w:rsidRPr="004D220C" w:rsidRDefault="004D220C" w:rsidP="00330AB5">
            <w:pPr>
              <w:ind w:left="504"/>
              <w:contextualSpacing/>
              <w:rPr>
                <w:rFonts w:ascii="Cambria" w:eastAsia="Calibri" w:hAnsi="Cambria" w:cs="Times New Roman"/>
                <w:sz w:val="8"/>
                <w:szCs w:val="8"/>
              </w:rPr>
            </w:pPr>
          </w:p>
          <w:p w:rsidR="004D220C" w:rsidRPr="004D220C" w:rsidRDefault="004D220C" w:rsidP="00330AB5">
            <w:pPr>
              <w:numPr>
                <w:ilvl w:val="0"/>
                <w:numId w:val="9"/>
              </w:numPr>
              <w:contextualSpacing/>
              <w:rPr>
                <w:rFonts w:ascii="Cambria" w:eastAsia="Calibri" w:hAnsi="Cambria" w:cs="Times New Roman"/>
                <w:sz w:val="18"/>
                <w:szCs w:val="18"/>
              </w:rPr>
            </w:pPr>
            <w:r w:rsidRPr="004D220C">
              <w:rPr>
                <w:rFonts w:ascii="Cambria" w:eastAsia="Calibri" w:hAnsi="Cambria" w:cs="Times New Roman"/>
                <w:sz w:val="18"/>
                <w:szCs w:val="18"/>
              </w:rPr>
              <w:t>Special programs include a variety of positions such a</w:t>
            </w:r>
            <w:r w:rsidR="000F69D4">
              <w:rPr>
                <w:rFonts w:ascii="Cambria" w:eastAsia="Calibri" w:hAnsi="Cambria" w:cs="Times New Roman"/>
                <w:sz w:val="18"/>
                <w:szCs w:val="18"/>
              </w:rPr>
              <w:t>s</w:t>
            </w:r>
            <w:r w:rsidRPr="004D220C">
              <w:rPr>
                <w:rFonts w:ascii="Cambria" w:eastAsia="Calibri" w:hAnsi="Cambria" w:cs="Times New Roman"/>
                <w:sz w:val="18"/>
                <w:szCs w:val="18"/>
              </w:rPr>
              <w:t xml:space="preserve"> recruiting, serving aboard the USS Constitution, Brig staff duty, professional development instructors and many others.</w:t>
            </w:r>
          </w:p>
          <w:p w:rsidR="004D220C" w:rsidRPr="000F69D4" w:rsidRDefault="004D220C" w:rsidP="00330AB5">
            <w:pPr>
              <w:rPr>
                <w:rFonts w:ascii="Cambria" w:eastAsia="Calibri" w:hAnsi="Cambria" w:cs="Times New Roman"/>
                <w:sz w:val="10"/>
                <w:szCs w:val="10"/>
              </w:rPr>
            </w:pPr>
          </w:p>
          <w:p w:rsidR="00D27262" w:rsidRPr="004D220C" w:rsidRDefault="008E416E" w:rsidP="00330AB5">
            <w:pPr>
              <w:numPr>
                <w:ilvl w:val="0"/>
                <w:numId w:val="1"/>
              </w:numPr>
              <w:ind w:left="216" w:hanging="216"/>
              <w:contextualSpacing/>
              <w:rPr>
                <w:rFonts w:ascii="Cambria" w:eastAsia="Calibri" w:hAnsi="Cambria" w:cs="Times New Roman"/>
                <w:sz w:val="18"/>
                <w:szCs w:val="18"/>
              </w:rPr>
            </w:pPr>
            <w:r w:rsidRPr="004D220C">
              <w:rPr>
                <w:rFonts w:ascii="Cambria" w:eastAsia="Calibri" w:hAnsi="Cambria" w:cs="Times New Roman"/>
                <w:sz w:val="18"/>
                <w:szCs w:val="18"/>
              </w:rPr>
              <w:t>Personnel transferring to units outside of the continental U.S., major or numbered fleet staffs, combatant commander staffs, staff for the Joint Chiefs of Staff, and staff for the Office of the Secretary of Defense.</w:t>
            </w:r>
          </w:p>
          <w:p w:rsidR="004D220C" w:rsidRPr="000F69D4" w:rsidRDefault="004D220C" w:rsidP="00330AB5">
            <w:pPr>
              <w:rPr>
                <w:rFonts w:ascii="Cambria" w:eastAsia="Calibri" w:hAnsi="Cambria" w:cs="Times New Roman"/>
                <w:sz w:val="10"/>
                <w:szCs w:val="10"/>
              </w:rPr>
            </w:pPr>
          </w:p>
          <w:p w:rsidR="000F69D4" w:rsidRDefault="008E416E" w:rsidP="000F69D4">
            <w:pPr>
              <w:numPr>
                <w:ilvl w:val="0"/>
                <w:numId w:val="1"/>
              </w:numPr>
              <w:ind w:left="216" w:hanging="216"/>
              <w:contextualSpacing/>
              <w:rPr>
                <w:rFonts w:ascii="Cambria" w:eastAsia="Calibri" w:hAnsi="Cambria" w:cs="Times New Roman"/>
                <w:sz w:val="18"/>
                <w:szCs w:val="18"/>
              </w:rPr>
            </w:pPr>
            <w:r w:rsidRPr="004D220C">
              <w:rPr>
                <w:rFonts w:ascii="Cambria" w:eastAsia="Calibri" w:hAnsi="Cambria" w:cs="Times New Roman"/>
                <w:sz w:val="18"/>
                <w:szCs w:val="18"/>
              </w:rPr>
              <w:t>Non-operational sea duty, such as units that are in maintenance phase and pre-commissioning units.</w:t>
            </w:r>
          </w:p>
          <w:p w:rsidR="000F69D4" w:rsidRPr="000F69D4" w:rsidRDefault="000F69D4" w:rsidP="000F69D4">
            <w:pPr>
              <w:ind w:left="216"/>
              <w:contextualSpacing/>
              <w:rPr>
                <w:rFonts w:ascii="Cambria" w:eastAsia="Calibri" w:hAnsi="Cambria" w:cs="Times New Roman"/>
                <w:sz w:val="10"/>
                <w:szCs w:val="10"/>
              </w:rPr>
            </w:pPr>
          </w:p>
          <w:p w:rsidR="009667D5" w:rsidRDefault="008E416E" w:rsidP="000F69D4">
            <w:pPr>
              <w:numPr>
                <w:ilvl w:val="0"/>
                <w:numId w:val="1"/>
              </w:numPr>
              <w:ind w:left="216" w:hanging="216"/>
              <w:contextualSpacing/>
              <w:rPr>
                <w:rFonts w:ascii="Cambria" w:eastAsia="Calibri" w:hAnsi="Cambria" w:cs="Times New Roman"/>
                <w:sz w:val="18"/>
                <w:szCs w:val="18"/>
              </w:rPr>
            </w:pPr>
            <w:r w:rsidRPr="000F69D4">
              <w:rPr>
                <w:rFonts w:ascii="Cambria" w:eastAsia="Calibri" w:hAnsi="Cambria" w:cs="Times New Roman"/>
                <w:sz w:val="18"/>
                <w:szCs w:val="18"/>
              </w:rPr>
              <w:t>All other shore duty in the continental U.S.</w:t>
            </w:r>
          </w:p>
          <w:p w:rsidR="00073F37" w:rsidRPr="00073F37" w:rsidRDefault="00073F37" w:rsidP="00073F37">
            <w:pPr>
              <w:ind w:left="216"/>
              <w:contextualSpacing/>
              <w:rPr>
                <w:rFonts w:ascii="Cambria" w:eastAsia="Calibri" w:hAnsi="Cambria" w:cs="Times New Roman"/>
                <w:sz w:val="6"/>
                <w:szCs w:val="6"/>
              </w:rPr>
            </w:pPr>
          </w:p>
        </w:tc>
        <w:tc>
          <w:tcPr>
            <w:tcW w:w="3487" w:type="dxa"/>
            <w:vMerge w:val="restart"/>
            <w:tcBorders>
              <w:bottom w:val="single" w:sz="4" w:space="0" w:color="auto"/>
            </w:tcBorders>
          </w:tcPr>
          <w:p w:rsidR="004D220C" w:rsidRPr="00522CE7" w:rsidRDefault="004D220C" w:rsidP="00330AB5">
            <w:pPr>
              <w:spacing w:line="276" w:lineRule="auto"/>
              <w:contextualSpacing/>
              <w:rPr>
                <w:rFonts w:ascii="Cambria" w:eastAsia="Calibri" w:hAnsi="Cambria" w:cs="Times New Roman"/>
                <w:sz w:val="8"/>
                <w:szCs w:val="8"/>
              </w:rPr>
            </w:pPr>
          </w:p>
          <w:p w:rsidR="000A0FED" w:rsidRDefault="00346C45" w:rsidP="000A0FED">
            <w:pPr>
              <w:numPr>
                <w:ilvl w:val="0"/>
                <w:numId w:val="7"/>
              </w:numPr>
              <w:spacing w:line="276" w:lineRule="auto"/>
              <w:contextualSpacing/>
              <w:rPr>
                <w:rFonts w:ascii="Cambria" w:eastAsia="Calibri" w:hAnsi="Cambria" w:cs="Times New Roman"/>
                <w:sz w:val="18"/>
                <w:szCs w:val="18"/>
              </w:rPr>
            </w:pPr>
            <w:r>
              <w:rPr>
                <w:rFonts w:ascii="Cambria" w:eastAsia="Calibri" w:hAnsi="Cambria" w:cs="Times New Roman"/>
                <w:sz w:val="18"/>
                <w:szCs w:val="18"/>
              </w:rPr>
              <w:t>S</w:t>
            </w:r>
            <w:r w:rsidR="008E416E" w:rsidRPr="004D220C">
              <w:rPr>
                <w:rFonts w:ascii="Cambria" w:eastAsia="Calibri" w:hAnsi="Cambria" w:cs="Times New Roman"/>
                <w:sz w:val="18"/>
                <w:szCs w:val="18"/>
              </w:rPr>
              <w:t xml:space="preserve">ome Sailors already on orders may </w:t>
            </w:r>
            <w:r w:rsidR="000A0FED">
              <w:rPr>
                <w:rFonts w:ascii="Cambria" w:eastAsia="Calibri" w:hAnsi="Cambria" w:cs="Times New Roman"/>
                <w:sz w:val="18"/>
                <w:szCs w:val="18"/>
              </w:rPr>
              <w:t xml:space="preserve">be issued entirely new </w:t>
            </w:r>
            <w:r w:rsidR="0067123D">
              <w:rPr>
                <w:rFonts w:ascii="Cambria" w:eastAsia="Calibri" w:hAnsi="Cambria" w:cs="Times New Roman"/>
                <w:sz w:val="18"/>
                <w:szCs w:val="18"/>
              </w:rPr>
              <w:t>orders.</w:t>
            </w:r>
          </w:p>
          <w:p w:rsidR="002E1A8B" w:rsidRPr="00285160" w:rsidRDefault="002E1A8B" w:rsidP="002E1A8B">
            <w:pPr>
              <w:spacing w:line="276" w:lineRule="auto"/>
              <w:ind w:left="144"/>
              <w:contextualSpacing/>
              <w:rPr>
                <w:rFonts w:ascii="Cambria" w:eastAsia="Calibri" w:hAnsi="Cambria" w:cs="Times New Roman"/>
                <w:sz w:val="6"/>
                <w:szCs w:val="6"/>
              </w:rPr>
            </w:pPr>
          </w:p>
          <w:p w:rsidR="00285160" w:rsidRDefault="000A0FED" w:rsidP="00285160">
            <w:pPr>
              <w:numPr>
                <w:ilvl w:val="0"/>
                <w:numId w:val="7"/>
              </w:numPr>
              <w:spacing w:line="276" w:lineRule="auto"/>
              <w:contextualSpacing/>
              <w:rPr>
                <w:rFonts w:ascii="Cambria" w:eastAsia="Calibri" w:hAnsi="Cambria" w:cs="Times New Roman"/>
                <w:sz w:val="18"/>
                <w:szCs w:val="18"/>
              </w:rPr>
            </w:pPr>
            <w:r>
              <w:rPr>
                <w:rFonts w:ascii="Cambria" w:eastAsia="Calibri" w:hAnsi="Cambria" w:cs="Times New Roman"/>
                <w:sz w:val="18"/>
                <w:szCs w:val="18"/>
              </w:rPr>
              <w:t xml:space="preserve">Orders </w:t>
            </w:r>
            <w:r w:rsidR="008E416E" w:rsidRPr="000A0FED">
              <w:rPr>
                <w:rFonts w:ascii="Cambria" w:eastAsia="Calibri" w:hAnsi="Cambria" w:cs="Times New Roman"/>
                <w:sz w:val="18"/>
                <w:szCs w:val="18"/>
              </w:rPr>
              <w:t xml:space="preserve">may be adjusted up to </w:t>
            </w:r>
            <w:r w:rsidR="00A55062">
              <w:rPr>
                <w:rFonts w:ascii="Cambria" w:eastAsia="Calibri" w:hAnsi="Cambria" w:cs="Times New Roman"/>
                <w:sz w:val="18"/>
                <w:szCs w:val="18"/>
              </w:rPr>
              <w:t xml:space="preserve">six </w:t>
            </w:r>
            <w:r w:rsidR="008E416E" w:rsidRPr="000A0FED">
              <w:rPr>
                <w:rFonts w:ascii="Cambria" w:eastAsia="Calibri" w:hAnsi="Cambria" w:cs="Times New Roman"/>
                <w:sz w:val="18"/>
                <w:szCs w:val="18"/>
              </w:rPr>
              <w:t>months</w:t>
            </w:r>
            <w:r w:rsidR="007438F5" w:rsidRPr="000A0FED">
              <w:rPr>
                <w:rFonts w:ascii="Cambria" w:eastAsia="Calibri" w:hAnsi="Cambria" w:cs="Times New Roman"/>
                <w:sz w:val="18"/>
                <w:szCs w:val="18"/>
              </w:rPr>
              <w:t xml:space="preserve"> in either direction</w:t>
            </w:r>
            <w:r w:rsidR="008E416E" w:rsidRPr="000A0FED">
              <w:rPr>
                <w:rFonts w:ascii="Cambria" w:eastAsia="Calibri" w:hAnsi="Cambria" w:cs="Times New Roman"/>
                <w:sz w:val="18"/>
                <w:szCs w:val="18"/>
              </w:rPr>
              <w:t xml:space="preserve"> to</w:t>
            </w:r>
            <w:r w:rsidR="00522CE7" w:rsidRPr="000A0FED">
              <w:rPr>
                <w:rFonts w:ascii="Cambria" w:eastAsia="Calibri" w:hAnsi="Cambria" w:cs="Times New Roman"/>
                <w:sz w:val="18"/>
                <w:szCs w:val="18"/>
              </w:rPr>
              <w:t xml:space="preserve"> ensure a face-to-face turnover</w:t>
            </w:r>
            <w:r w:rsidR="002E1A8B">
              <w:rPr>
                <w:rFonts w:ascii="Cambria" w:eastAsia="Calibri" w:hAnsi="Cambria" w:cs="Times New Roman"/>
                <w:sz w:val="18"/>
                <w:szCs w:val="18"/>
              </w:rPr>
              <w:t>.  A</w:t>
            </w:r>
            <w:r w:rsidR="00522CE7" w:rsidRPr="000A0FED">
              <w:rPr>
                <w:rFonts w:ascii="Cambria" w:eastAsia="Calibri" w:hAnsi="Cambria" w:cs="Times New Roman"/>
                <w:sz w:val="18"/>
                <w:szCs w:val="18"/>
              </w:rPr>
              <w:t xml:space="preserve">n extension of 7-12 months </w:t>
            </w:r>
            <w:r w:rsidR="002E1A8B">
              <w:rPr>
                <w:rFonts w:ascii="Cambria" w:eastAsia="Calibri" w:hAnsi="Cambria" w:cs="Times New Roman"/>
                <w:sz w:val="18"/>
                <w:szCs w:val="18"/>
              </w:rPr>
              <w:t>will be rare.</w:t>
            </w:r>
          </w:p>
          <w:p w:rsidR="00285160" w:rsidRPr="00285160" w:rsidRDefault="00285160" w:rsidP="00285160">
            <w:pPr>
              <w:spacing w:line="276" w:lineRule="auto"/>
              <w:ind w:left="144"/>
              <w:contextualSpacing/>
              <w:rPr>
                <w:rFonts w:ascii="Cambria" w:eastAsia="Calibri" w:hAnsi="Cambria" w:cs="Times New Roman"/>
                <w:sz w:val="6"/>
                <w:szCs w:val="6"/>
              </w:rPr>
            </w:pPr>
          </w:p>
          <w:p w:rsidR="002E1A8B" w:rsidRPr="002C26C4" w:rsidRDefault="002C26C4" w:rsidP="00285160">
            <w:pPr>
              <w:numPr>
                <w:ilvl w:val="0"/>
                <w:numId w:val="7"/>
              </w:numPr>
              <w:spacing w:line="276" w:lineRule="auto"/>
              <w:contextualSpacing/>
              <w:rPr>
                <w:rFonts w:ascii="Cambria" w:eastAsia="Calibri" w:hAnsi="Cambria" w:cs="Times New Roman"/>
                <w:sz w:val="18"/>
                <w:szCs w:val="18"/>
              </w:rPr>
            </w:pPr>
            <w:r w:rsidRPr="002C26C4">
              <w:rPr>
                <w:rFonts w:ascii="Cambria" w:eastAsia="Calibri" w:hAnsi="Cambria" w:cs="Times New Roman"/>
                <w:sz w:val="18"/>
                <w:szCs w:val="18"/>
              </w:rPr>
              <w:t>ROM will continue i</w:t>
            </w:r>
            <w:r w:rsidR="00A55062" w:rsidRPr="002C26C4">
              <w:rPr>
                <w:rFonts w:ascii="Cambria" w:eastAsia="Calibri" w:hAnsi="Cambria" w:cs="Times New Roman"/>
                <w:sz w:val="18"/>
                <w:szCs w:val="18"/>
              </w:rPr>
              <w:t xml:space="preserve">f </w:t>
            </w:r>
            <w:r w:rsidR="002E1A8B" w:rsidRPr="002C26C4">
              <w:rPr>
                <w:rFonts w:ascii="Cambria" w:eastAsia="Calibri" w:hAnsi="Cambria" w:cs="Times New Roman"/>
                <w:sz w:val="18"/>
                <w:szCs w:val="18"/>
              </w:rPr>
              <w:t>orders are to/from areas under stop movement conditions</w:t>
            </w:r>
            <w:r w:rsidRPr="002C26C4">
              <w:rPr>
                <w:rFonts w:ascii="Cambria" w:eastAsia="Calibri" w:hAnsi="Cambria" w:cs="Times New Roman"/>
                <w:sz w:val="18"/>
                <w:szCs w:val="18"/>
              </w:rPr>
              <w:t>.</w:t>
            </w:r>
          </w:p>
          <w:p w:rsidR="00285160" w:rsidRPr="00285160" w:rsidRDefault="00285160" w:rsidP="00285160">
            <w:pPr>
              <w:spacing w:line="276" w:lineRule="auto"/>
              <w:ind w:left="144"/>
              <w:contextualSpacing/>
              <w:rPr>
                <w:rFonts w:ascii="Cambria" w:eastAsia="Calibri" w:hAnsi="Cambria" w:cs="Times New Roman"/>
                <w:sz w:val="6"/>
                <w:szCs w:val="6"/>
              </w:rPr>
            </w:pPr>
          </w:p>
          <w:p w:rsidR="00EE436C" w:rsidRPr="002C26C4" w:rsidRDefault="002C34FB" w:rsidP="00E42B5E">
            <w:pPr>
              <w:numPr>
                <w:ilvl w:val="0"/>
                <w:numId w:val="7"/>
              </w:numPr>
              <w:spacing w:line="276" w:lineRule="auto"/>
              <w:contextualSpacing/>
              <w:rPr>
                <w:rFonts w:ascii="Cambria" w:eastAsia="Calibri" w:hAnsi="Cambria" w:cs="Times New Roman"/>
                <w:sz w:val="18"/>
                <w:szCs w:val="18"/>
              </w:rPr>
            </w:pPr>
            <w:r>
              <w:rPr>
                <w:rFonts w:ascii="Cambria" w:eastAsia="Calibri" w:hAnsi="Cambria" w:cs="Times New Roman"/>
                <w:sz w:val="18"/>
                <w:szCs w:val="18"/>
              </w:rPr>
              <w:t>Even though gaining and losing locations may be “green,” if an intermediate stop on your orders is “red” you may still require a waiver</w:t>
            </w:r>
            <w:r w:rsidR="00E42B5E" w:rsidRPr="002C26C4">
              <w:rPr>
                <w:rFonts w:ascii="Cambria" w:eastAsia="Calibri" w:hAnsi="Cambria" w:cs="Times New Roman"/>
                <w:sz w:val="18"/>
                <w:szCs w:val="18"/>
              </w:rPr>
              <w:t>.</w:t>
            </w:r>
          </w:p>
          <w:p w:rsidR="00EE436C" w:rsidRPr="00285160" w:rsidRDefault="00EE436C" w:rsidP="00EE436C">
            <w:pPr>
              <w:spacing w:line="276" w:lineRule="auto"/>
              <w:ind w:left="144"/>
              <w:contextualSpacing/>
              <w:rPr>
                <w:rFonts w:ascii="Cambria" w:eastAsia="Calibri" w:hAnsi="Cambria" w:cs="Times New Roman"/>
                <w:sz w:val="6"/>
                <w:szCs w:val="6"/>
              </w:rPr>
            </w:pPr>
          </w:p>
          <w:p w:rsidR="00693D19" w:rsidRDefault="00285160" w:rsidP="0067123D">
            <w:pPr>
              <w:numPr>
                <w:ilvl w:val="0"/>
                <w:numId w:val="7"/>
              </w:numPr>
              <w:spacing w:line="276" w:lineRule="auto"/>
              <w:contextualSpacing/>
              <w:rPr>
                <w:rFonts w:ascii="Cambria" w:eastAsia="Calibri" w:hAnsi="Cambria" w:cs="Times New Roman"/>
                <w:sz w:val="18"/>
                <w:szCs w:val="18"/>
              </w:rPr>
            </w:pPr>
            <w:r>
              <w:rPr>
                <w:rFonts w:ascii="Cambria" w:eastAsia="Calibri" w:hAnsi="Cambria" w:cs="Times New Roman"/>
                <w:sz w:val="18"/>
                <w:szCs w:val="18"/>
              </w:rPr>
              <w:t>D</w:t>
            </w:r>
            <w:r w:rsidR="009F13DF">
              <w:rPr>
                <w:rFonts w:ascii="Cambria" w:eastAsia="Calibri" w:hAnsi="Cambria" w:cs="Times New Roman"/>
                <w:sz w:val="18"/>
                <w:szCs w:val="18"/>
              </w:rPr>
              <w:t>ependent t</w:t>
            </w:r>
            <w:r w:rsidR="008E416E" w:rsidRPr="00EE436C">
              <w:rPr>
                <w:rFonts w:ascii="Cambria" w:eastAsia="Calibri" w:hAnsi="Cambria" w:cs="Times New Roman"/>
                <w:sz w:val="18"/>
                <w:szCs w:val="18"/>
              </w:rPr>
              <w:t>ravel</w:t>
            </w:r>
            <w:r w:rsidR="009F13DF">
              <w:rPr>
                <w:rFonts w:ascii="Cambria" w:eastAsia="Calibri" w:hAnsi="Cambria" w:cs="Times New Roman"/>
                <w:sz w:val="18"/>
                <w:szCs w:val="18"/>
              </w:rPr>
              <w:t xml:space="preserve"> c</w:t>
            </w:r>
            <w:r>
              <w:rPr>
                <w:rFonts w:ascii="Cambria" w:eastAsia="Calibri" w:hAnsi="Cambria" w:cs="Times New Roman"/>
                <w:sz w:val="18"/>
                <w:szCs w:val="18"/>
              </w:rPr>
              <w:t xml:space="preserve">an be delayed </w:t>
            </w:r>
            <w:r w:rsidR="008E416E" w:rsidRPr="00EE436C">
              <w:rPr>
                <w:rFonts w:ascii="Cambria" w:eastAsia="Calibri" w:hAnsi="Cambria" w:cs="Times New Roman"/>
                <w:sz w:val="18"/>
                <w:szCs w:val="18"/>
              </w:rPr>
              <w:t>for up to 180 days</w:t>
            </w:r>
            <w:r w:rsidR="0067123D">
              <w:rPr>
                <w:rFonts w:ascii="Cambria" w:eastAsia="Calibri" w:hAnsi="Cambria" w:cs="Times New Roman"/>
                <w:sz w:val="18"/>
                <w:szCs w:val="18"/>
              </w:rPr>
              <w:t xml:space="preserve"> or</w:t>
            </w:r>
            <w:r w:rsidR="009F13DF">
              <w:rPr>
                <w:rFonts w:ascii="Cambria" w:eastAsia="Calibri" w:hAnsi="Cambria" w:cs="Times New Roman"/>
                <w:sz w:val="18"/>
                <w:szCs w:val="18"/>
              </w:rPr>
              <w:t xml:space="preserve"> until the end of the school year (not to exceed June 30, 2021) </w:t>
            </w:r>
            <w:r w:rsidR="0067123D">
              <w:rPr>
                <w:rFonts w:ascii="Cambria" w:eastAsia="Calibri" w:hAnsi="Cambria" w:cs="Times New Roman"/>
                <w:sz w:val="18"/>
                <w:szCs w:val="18"/>
              </w:rPr>
              <w:t>for</w:t>
            </w:r>
            <w:r w:rsidR="009F13DF">
              <w:rPr>
                <w:rFonts w:ascii="Cambria" w:eastAsia="Calibri" w:hAnsi="Cambria" w:cs="Times New Roman"/>
                <w:sz w:val="18"/>
                <w:szCs w:val="18"/>
              </w:rPr>
              <w:t xml:space="preserve"> those with </w:t>
            </w:r>
            <w:r w:rsidR="00A2724C">
              <w:rPr>
                <w:rFonts w:ascii="Cambria" w:eastAsia="Calibri" w:hAnsi="Cambria" w:cs="Times New Roman"/>
                <w:sz w:val="18"/>
                <w:szCs w:val="18"/>
              </w:rPr>
              <w:t>K</w:t>
            </w:r>
            <w:r w:rsidR="00F75CF3">
              <w:rPr>
                <w:rFonts w:ascii="Cambria" w:eastAsia="Calibri" w:hAnsi="Cambria" w:cs="Times New Roman"/>
                <w:sz w:val="18"/>
                <w:szCs w:val="18"/>
              </w:rPr>
              <w:t xml:space="preserve">-12 </w:t>
            </w:r>
            <w:r w:rsidR="009F13DF">
              <w:rPr>
                <w:rFonts w:ascii="Cambria" w:eastAsia="Calibri" w:hAnsi="Cambria" w:cs="Times New Roman"/>
                <w:sz w:val="18"/>
                <w:szCs w:val="18"/>
              </w:rPr>
              <w:t>school-age children.</w:t>
            </w:r>
          </w:p>
          <w:p w:rsidR="00681E59" w:rsidRPr="00681E59" w:rsidRDefault="00681E59" w:rsidP="00681E59">
            <w:pPr>
              <w:spacing w:line="276" w:lineRule="auto"/>
              <w:ind w:left="144"/>
              <w:contextualSpacing/>
              <w:rPr>
                <w:rFonts w:ascii="Cambria" w:eastAsia="Calibri" w:hAnsi="Cambria" w:cs="Times New Roman"/>
                <w:sz w:val="6"/>
                <w:szCs w:val="6"/>
              </w:rPr>
            </w:pPr>
          </w:p>
        </w:tc>
      </w:tr>
      <w:tr w:rsidR="004D220C" w:rsidRPr="004D220C" w:rsidTr="00073F37">
        <w:tc>
          <w:tcPr>
            <w:tcW w:w="3198" w:type="dxa"/>
            <w:shd w:val="clear" w:color="auto" w:fill="E8B010"/>
          </w:tcPr>
          <w:p w:rsidR="004D220C" w:rsidRPr="004D220C" w:rsidRDefault="004D220C" w:rsidP="004D220C">
            <w:pPr>
              <w:jc w:val="center"/>
              <w:rPr>
                <w:rFonts w:ascii="Cambria" w:hAnsi="Cambria"/>
                <w:b/>
                <w:spacing w:val="20"/>
                <w:sz w:val="22"/>
              </w:rPr>
            </w:pPr>
            <w:r w:rsidRPr="004D220C">
              <w:rPr>
                <w:rFonts w:ascii="Cambria" w:hAnsi="Cambria"/>
                <w:b/>
                <w:spacing w:val="20"/>
                <w:sz w:val="22"/>
              </w:rPr>
              <w:t>Limitations</w:t>
            </w:r>
          </w:p>
        </w:tc>
        <w:tc>
          <w:tcPr>
            <w:tcW w:w="4537" w:type="dxa"/>
            <w:gridSpan w:val="2"/>
            <w:vMerge/>
            <w:shd w:val="clear" w:color="auto" w:fill="D9D9D9" w:themeFill="background1" w:themeFillShade="D9"/>
          </w:tcPr>
          <w:p w:rsidR="004D220C" w:rsidRPr="004D220C" w:rsidRDefault="004D220C" w:rsidP="004D220C">
            <w:pPr>
              <w:rPr>
                <w:rFonts w:ascii="Cambria" w:hAnsi="Cambria"/>
                <w:sz w:val="22"/>
              </w:rPr>
            </w:pPr>
          </w:p>
        </w:tc>
        <w:tc>
          <w:tcPr>
            <w:tcW w:w="3487" w:type="dxa"/>
            <w:vMerge/>
          </w:tcPr>
          <w:p w:rsidR="004D220C" w:rsidRPr="004D220C" w:rsidRDefault="004D220C" w:rsidP="004D220C">
            <w:pPr>
              <w:rPr>
                <w:rFonts w:ascii="Cambria" w:hAnsi="Cambria"/>
                <w:sz w:val="22"/>
              </w:rPr>
            </w:pPr>
          </w:p>
        </w:tc>
      </w:tr>
      <w:tr w:rsidR="004D220C" w:rsidRPr="004D220C" w:rsidTr="00073F37">
        <w:trPr>
          <w:trHeight w:val="141"/>
        </w:trPr>
        <w:tc>
          <w:tcPr>
            <w:tcW w:w="3198" w:type="dxa"/>
            <w:vMerge w:val="restart"/>
          </w:tcPr>
          <w:p w:rsidR="004D220C" w:rsidRPr="00681E59" w:rsidRDefault="004D220C" w:rsidP="00330AB5">
            <w:pPr>
              <w:rPr>
                <w:rFonts w:ascii="Cambria" w:eastAsia="Calibri" w:hAnsi="Cambria" w:cs="Times New Roman"/>
                <w:sz w:val="18"/>
                <w:szCs w:val="18"/>
              </w:rPr>
            </w:pPr>
          </w:p>
          <w:p w:rsidR="004D220C" w:rsidRPr="004D220C" w:rsidRDefault="00D01E5D" w:rsidP="00330AB5">
            <w:pPr>
              <w:rPr>
                <w:rFonts w:ascii="Cambria" w:eastAsia="Calibri" w:hAnsi="Cambria" w:cs="Times New Roman"/>
                <w:sz w:val="18"/>
                <w:szCs w:val="18"/>
              </w:rPr>
            </w:pPr>
            <w:r>
              <w:rPr>
                <w:rFonts w:ascii="Cambria" w:eastAsia="Calibri" w:hAnsi="Cambria" w:cs="Times New Roman"/>
                <w:sz w:val="18"/>
                <w:szCs w:val="18"/>
              </w:rPr>
              <w:t xml:space="preserve">The number of </w:t>
            </w:r>
            <w:r w:rsidR="004D220C" w:rsidRPr="004D220C">
              <w:rPr>
                <w:rFonts w:ascii="Cambria" w:eastAsia="Calibri" w:hAnsi="Cambria" w:cs="Times New Roman"/>
                <w:sz w:val="18"/>
                <w:szCs w:val="18"/>
              </w:rPr>
              <w:t xml:space="preserve">Sailors who can move at one time </w:t>
            </w:r>
            <w:r>
              <w:rPr>
                <w:rFonts w:ascii="Cambria" w:eastAsia="Calibri" w:hAnsi="Cambria" w:cs="Times New Roman"/>
                <w:sz w:val="18"/>
                <w:szCs w:val="18"/>
              </w:rPr>
              <w:t>may</w:t>
            </w:r>
            <w:r w:rsidR="004D220C" w:rsidRPr="004D220C">
              <w:rPr>
                <w:rFonts w:ascii="Cambria" w:eastAsia="Calibri" w:hAnsi="Cambria" w:cs="Times New Roman"/>
                <w:sz w:val="18"/>
                <w:szCs w:val="18"/>
              </w:rPr>
              <w:t xml:space="preserve"> be limited because of: </w:t>
            </w:r>
          </w:p>
          <w:p w:rsidR="004D220C" w:rsidRPr="00681E59" w:rsidRDefault="004D220C" w:rsidP="00330AB5">
            <w:pPr>
              <w:rPr>
                <w:rFonts w:ascii="Cambria" w:eastAsia="Calibri" w:hAnsi="Cambria" w:cs="Times New Roman"/>
                <w:sz w:val="16"/>
                <w:szCs w:val="16"/>
              </w:rPr>
            </w:pPr>
          </w:p>
          <w:p w:rsidR="004D220C" w:rsidRPr="004D220C" w:rsidRDefault="004D220C" w:rsidP="00330AB5">
            <w:pPr>
              <w:numPr>
                <w:ilvl w:val="0"/>
                <w:numId w:val="5"/>
              </w:numPr>
              <w:contextualSpacing/>
              <w:rPr>
                <w:rFonts w:ascii="Cambria" w:eastAsia="Calibri" w:hAnsi="Cambria" w:cs="Times New Roman"/>
                <w:sz w:val="18"/>
                <w:szCs w:val="18"/>
              </w:rPr>
            </w:pPr>
            <w:r w:rsidRPr="004D220C">
              <w:rPr>
                <w:rFonts w:ascii="Cambria" w:eastAsia="Calibri" w:hAnsi="Cambria" w:cs="Times New Roman"/>
                <w:sz w:val="18"/>
                <w:szCs w:val="18"/>
              </w:rPr>
              <w:t>Local Health Protection Conditions (HPCON)</w:t>
            </w:r>
            <w:r w:rsidR="00505E8E">
              <w:rPr>
                <w:rFonts w:ascii="Cambria" w:eastAsia="Calibri" w:hAnsi="Cambria" w:cs="Times New Roman"/>
                <w:sz w:val="18"/>
                <w:szCs w:val="18"/>
              </w:rPr>
              <w:t>.</w:t>
            </w:r>
            <w:r w:rsidRPr="004D220C">
              <w:rPr>
                <w:rFonts w:ascii="Cambria" w:eastAsia="Calibri" w:hAnsi="Cambria" w:cs="Times New Roman"/>
                <w:sz w:val="18"/>
                <w:szCs w:val="18"/>
              </w:rPr>
              <w:t xml:space="preserve"> </w:t>
            </w:r>
          </w:p>
          <w:p w:rsidR="004D220C" w:rsidRPr="00D569A7" w:rsidRDefault="004D220C" w:rsidP="00330AB5">
            <w:pPr>
              <w:ind w:left="144"/>
              <w:contextualSpacing/>
              <w:rPr>
                <w:rFonts w:ascii="Cambria" w:eastAsia="Calibri" w:hAnsi="Cambria" w:cs="Times New Roman"/>
                <w:sz w:val="10"/>
                <w:szCs w:val="10"/>
              </w:rPr>
            </w:pPr>
          </w:p>
          <w:p w:rsidR="004D220C" w:rsidRPr="004D220C" w:rsidRDefault="004D220C" w:rsidP="00330AB5">
            <w:pPr>
              <w:numPr>
                <w:ilvl w:val="0"/>
                <w:numId w:val="5"/>
              </w:numPr>
              <w:contextualSpacing/>
              <w:rPr>
                <w:rFonts w:ascii="Cambria" w:eastAsia="Calibri" w:hAnsi="Cambria" w:cs="Times New Roman"/>
                <w:sz w:val="18"/>
                <w:szCs w:val="18"/>
              </w:rPr>
            </w:pPr>
            <w:r w:rsidRPr="004D220C">
              <w:rPr>
                <w:rFonts w:ascii="Cambria" w:eastAsia="Calibri" w:hAnsi="Cambria" w:cs="Times New Roman"/>
                <w:sz w:val="18"/>
                <w:szCs w:val="18"/>
              </w:rPr>
              <w:t>International, state and local government policies</w:t>
            </w:r>
            <w:r w:rsidR="00505E8E">
              <w:rPr>
                <w:rFonts w:ascii="Cambria" w:eastAsia="Calibri" w:hAnsi="Cambria" w:cs="Times New Roman"/>
                <w:sz w:val="18"/>
                <w:szCs w:val="18"/>
              </w:rPr>
              <w:t>.</w:t>
            </w:r>
            <w:r w:rsidRPr="004D220C">
              <w:rPr>
                <w:rFonts w:ascii="Cambria" w:eastAsia="Calibri" w:hAnsi="Cambria" w:cs="Times New Roman"/>
                <w:sz w:val="18"/>
                <w:szCs w:val="18"/>
              </w:rPr>
              <w:t xml:space="preserve"> </w:t>
            </w:r>
          </w:p>
          <w:p w:rsidR="004D220C" w:rsidRPr="00681E59" w:rsidRDefault="004D220C" w:rsidP="00330AB5">
            <w:pPr>
              <w:ind w:left="144"/>
              <w:contextualSpacing/>
              <w:rPr>
                <w:rFonts w:ascii="Cambria" w:eastAsia="Calibri" w:hAnsi="Cambria" w:cs="Times New Roman"/>
                <w:sz w:val="16"/>
                <w:szCs w:val="16"/>
              </w:rPr>
            </w:pPr>
          </w:p>
          <w:p w:rsidR="004D220C" w:rsidRPr="004D220C" w:rsidRDefault="008E416E" w:rsidP="00330AB5">
            <w:pPr>
              <w:numPr>
                <w:ilvl w:val="0"/>
                <w:numId w:val="5"/>
              </w:numPr>
              <w:contextualSpacing/>
              <w:rPr>
                <w:rFonts w:ascii="Cambria" w:eastAsia="Calibri" w:hAnsi="Cambria" w:cs="Times New Roman"/>
                <w:sz w:val="18"/>
                <w:szCs w:val="18"/>
              </w:rPr>
            </w:pPr>
            <w:r w:rsidRPr="004D220C">
              <w:rPr>
                <w:rFonts w:ascii="Cambria" w:eastAsia="Calibri" w:hAnsi="Cambria" w:cs="Times New Roman"/>
                <w:sz w:val="18"/>
                <w:szCs w:val="18"/>
              </w:rPr>
              <w:t xml:space="preserve">Transportation logistics and capacity </w:t>
            </w:r>
            <w:r w:rsidR="00D569A7">
              <w:rPr>
                <w:rFonts w:ascii="Cambria" w:eastAsia="Calibri" w:hAnsi="Cambria" w:cs="Times New Roman"/>
                <w:sz w:val="18"/>
                <w:szCs w:val="18"/>
              </w:rPr>
              <w:t>limits for the entire Department of Defense.</w:t>
            </w:r>
          </w:p>
          <w:p w:rsidR="004D220C" w:rsidRPr="00681E59" w:rsidRDefault="004D220C" w:rsidP="00330AB5">
            <w:pPr>
              <w:rPr>
                <w:rFonts w:ascii="Cambria" w:eastAsia="Calibri" w:hAnsi="Cambria" w:cs="Times New Roman"/>
                <w:sz w:val="16"/>
                <w:szCs w:val="16"/>
              </w:rPr>
            </w:pPr>
          </w:p>
          <w:p w:rsidR="004D220C" w:rsidRPr="004D220C" w:rsidRDefault="008E1D85" w:rsidP="00D05A17">
            <w:pPr>
              <w:rPr>
                <w:rFonts w:ascii="Cambria" w:hAnsi="Cambria"/>
                <w:sz w:val="12"/>
                <w:szCs w:val="12"/>
              </w:rPr>
            </w:pPr>
            <w:r w:rsidRPr="008E416E">
              <w:rPr>
                <w:rFonts w:ascii="Cambria" w:eastAsia="Calibri" w:hAnsi="Cambria" w:cs="Times New Roman"/>
                <w:b/>
                <w:sz w:val="18"/>
                <w:szCs w:val="18"/>
                <w:u w:val="single"/>
              </w:rPr>
              <w:t>Note</w:t>
            </w:r>
            <w:r w:rsidRPr="008E416E">
              <w:rPr>
                <w:rFonts w:ascii="Cambria" w:eastAsia="Calibri" w:hAnsi="Cambria" w:cs="Times New Roman"/>
                <w:b/>
                <w:sz w:val="18"/>
                <w:szCs w:val="18"/>
              </w:rPr>
              <w:t>:</w:t>
            </w:r>
            <w:r>
              <w:rPr>
                <w:rFonts w:ascii="Cambria" w:eastAsia="Calibri" w:hAnsi="Cambria" w:cs="Times New Roman"/>
                <w:sz w:val="18"/>
                <w:szCs w:val="18"/>
              </w:rPr>
              <w:t xml:space="preserve">  </w:t>
            </w:r>
            <w:r w:rsidR="004D220C" w:rsidRPr="004D220C">
              <w:rPr>
                <w:rFonts w:ascii="Cambria" w:eastAsia="Calibri" w:hAnsi="Cambria" w:cs="Times New Roman"/>
                <w:sz w:val="18"/>
                <w:szCs w:val="18"/>
              </w:rPr>
              <w:t xml:space="preserve">The </w:t>
            </w:r>
            <w:r w:rsidR="008E416E" w:rsidRPr="004D220C">
              <w:rPr>
                <w:rFonts w:ascii="Cambria" w:eastAsia="Calibri" w:hAnsi="Cambria" w:cs="Times New Roman"/>
                <w:sz w:val="18"/>
                <w:szCs w:val="18"/>
              </w:rPr>
              <w:t>Navy is working closely with U.S. Transportation Command and the other services to balance the Navy’s needs with the available capacity.</w:t>
            </w:r>
          </w:p>
        </w:tc>
        <w:tc>
          <w:tcPr>
            <w:tcW w:w="4537" w:type="dxa"/>
            <w:gridSpan w:val="2"/>
            <w:vMerge/>
            <w:shd w:val="clear" w:color="auto" w:fill="D9D9D9" w:themeFill="background1" w:themeFillShade="D9"/>
          </w:tcPr>
          <w:p w:rsidR="004D220C" w:rsidRPr="004D220C" w:rsidRDefault="004D220C" w:rsidP="004D220C">
            <w:pPr>
              <w:rPr>
                <w:rFonts w:ascii="Cambria" w:hAnsi="Cambria"/>
                <w:sz w:val="22"/>
              </w:rPr>
            </w:pPr>
          </w:p>
        </w:tc>
        <w:tc>
          <w:tcPr>
            <w:tcW w:w="3487" w:type="dxa"/>
            <w:vMerge/>
          </w:tcPr>
          <w:p w:rsidR="004D220C" w:rsidRPr="004D220C" w:rsidRDefault="004D220C" w:rsidP="004D220C">
            <w:pPr>
              <w:rPr>
                <w:rFonts w:ascii="Cambria" w:hAnsi="Cambria"/>
                <w:sz w:val="22"/>
              </w:rPr>
            </w:pPr>
          </w:p>
        </w:tc>
      </w:tr>
      <w:tr w:rsidR="004D220C" w:rsidRPr="004D220C" w:rsidTr="00073F37">
        <w:tc>
          <w:tcPr>
            <w:tcW w:w="3198" w:type="dxa"/>
            <w:vMerge/>
          </w:tcPr>
          <w:p w:rsidR="004D220C" w:rsidRPr="004D220C" w:rsidRDefault="004D220C" w:rsidP="004D220C">
            <w:pPr>
              <w:rPr>
                <w:rFonts w:ascii="Cambria" w:hAnsi="Cambria"/>
                <w:sz w:val="22"/>
              </w:rPr>
            </w:pPr>
          </w:p>
        </w:tc>
        <w:tc>
          <w:tcPr>
            <w:tcW w:w="4537" w:type="dxa"/>
            <w:gridSpan w:val="2"/>
            <w:vMerge/>
            <w:shd w:val="clear" w:color="auto" w:fill="D9D9D9" w:themeFill="background1" w:themeFillShade="D9"/>
          </w:tcPr>
          <w:p w:rsidR="004D220C" w:rsidRPr="004D220C" w:rsidRDefault="004D220C" w:rsidP="004D220C">
            <w:pPr>
              <w:rPr>
                <w:rFonts w:ascii="Cambria" w:hAnsi="Cambria"/>
                <w:sz w:val="22"/>
              </w:rPr>
            </w:pPr>
          </w:p>
        </w:tc>
        <w:tc>
          <w:tcPr>
            <w:tcW w:w="3487" w:type="dxa"/>
            <w:shd w:val="clear" w:color="auto" w:fill="E8B010"/>
          </w:tcPr>
          <w:p w:rsidR="004D220C" w:rsidRPr="004D220C" w:rsidRDefault="004D220C" w:rsidP="004D220C">
            <w:pPr>
              <w:jc w:val="center"/>
              <w:rPr>
                <w:rFonts w:ascii="Cambria" w:hAnsi="Cambria"/>
                <w:b/>
                <w:spacing w:val="20"/>
                <w:sz w:val="22"/>
              </w:rPr>
            </w:pPr>
            <w:r w:rsidRPr="004D220C">
              <w:rPr>
                <w:rFonts w:ascii="Cambria" w:hAnsi="Cambria"/>
                <w:b/>
                <w:spacing w:val="20"/>
                <w:sz w:val="22"/>
              </w:rPr>
              <w:t>Exemptions</w:t>
            </w:r>
          </w:p>
        </w:tc>
      </w:tr>
      <w:tr w:rsidR="004D220C" w:rsidRPr="004D220C" w:rsidTr="00073F37">
        <w:trPr>
          <w:trHeight w:val="2177"/>
        </w:trPr>
        <w:tc>
          <w:tcPr>
            <w:tcW w:w="3198" w:type="dxa"/>
            <w:vMerge/>
            <w:tcBorders>
              <w:bottom w:val="single" w:sz="4" w:space="0" w:color="auto"/>
            </w:tcBorders>
          </w:tcPr>
          <w:p w:rsidR="004D220C" w:rsidRPr="004D220C" w:rsidRDefault="004D220C" w:rsidP="004D220C">
            <w:pPr>
              <w:rPr>
                <w:rFonts w:ascii="Cambria" w:hAnsi="Cambria"/>
                <w:sz w:val="22"/>
              </w:rPr>
            </w:pPr>
          </w:p>
        </w:tc>
        <w:tc>
          <w:tcPr>
            <w:tcW w:w="4537" w:type="dxa"/>
            <w:gridSpan w:val="2"/>
            <w:vMerge/>
            <w:tcBorders>
              <w:bottom w:val="single" w:sz="4" w:space="0" w:color="auto"/>
            </w:tcBorders>
            <w:shd w:val="clear" w:color="auto" w:fill="D9D9D9" w:themeFill="background1" w:themeFillShade="D9"/>
          </w:tcPr>
          <w:p w:rsidR="004D220C" w:rsidRPr="004D220C" w:rsidRDefault="004D220C" w:rsidP="004D220C">
            <w:pPr>
              <w:rPr>
                <w:rFonts w:ascii="Cambria" w:hAnsi="Cambria"/>
                <w:sz w:val="22"/>
              </w:rPr>
            </w:pPr>
          </w:p>
        </w:tc>
        <w:tc>
          <w:tcPr>
            <w:tcW w:w="3487" w:type="dxa"/>
            <w:tcBorders>
              <w:bottom w:val="single" w:sz="4" w:space="0" w:color="auto"/>
            </w:tcBorders>
          </w:tcPr>
          <w:p w:rsidR="004D220C" w:rsidRPr="00241081" w:rsidRDefault="004D220C" w:rsidP="00330AB5">
            <w:pPr>
              <w:rPr>
                <w:rFonts w:ascii="Cambria" w:hAnsi="Cambria"/>
                <w:sz w:val="10"/>
                <w:szCs w:val="10"/>
              </w:rPr>
            </w:pPr>
          </w:p>
          <w:p w:rsidR="004D220C" w:rsidRPr="004D220C" w:rsidRDefault="004D220C" w:rsidP="00330AB5">
            <w:pPr>
              <w:spacing w:line="276" w:lineRule="auto"/>
              <w:rPr>
                <w:rFonts w:ascii="Cambria" w:hAnsi="Cambria"/>
                <w:sz w:val="18"/>
                <w:szCs w:val="18"/>
              </w:rPr>
            </w:pPr>
            <w:r w:rsidRPr="004D220C">
              <w:rPr>
                <w:rFonts w:ascii="Cambria" w:hAnsi="Cambria"/>
                <w:sz w:val="18"/>
                <w:szCs w:val="18"/>
              </w:rPr>
              <w:t>Stop Movement and restart policies do not affect</w:t>
            </w:r>
            <w:r w:rsidR="00290729">
              <w:rPr>
                <w:rFonts w:ascii="Cambria" w:hAnsi="Cambria"/>
                <w:sz w:val="18"/>
                <w:szCs w:val="18"/>
              </w:rPr>
              <w:t xml:space="preserve"> these</w:t>
            </w:r>
            <w:r w:rsidRPr="004D220C">
              <w:rPr>
                <w:rFonts w:ascii="Cambria" w:hAnsi="Cambria"/>
                <w:sz w:val="18"/>
                <w:szCs w:val="18"/>
              </w:rPr>
              <w:t xml:space="preserve"> Service Members:</w:t>
            </w:r>
          </w:p>
          <w:p w:rsidR="004D220C" w:rsidRPr="00241081" w:rsidRDefault="004D220C" w:rsidP="00330AB5">
            <w:pPr>
              <w:spacing w:line="276" w:lineRule="auto"/>
              <w:rPr>
                <w:rFonts w:ascii="Cambria" w:hAnsi="Cambria"/>
                <w:sz w:val="6"/>
                <w:szCs w:val="6"/>
              </w:rPr>
            </w:pPr>
          </w:p>
          <w:p w:rsidR="004D220C" w:rsidRPr="004D220C" w:rsidRDefault="008E416E" w:rsidP="00330AB5">
            <w:pPr>
              <w:numPr>
                <w:ilvl w:val="0"/>
                <w:numId w:val="8"/>
              </w:numPr>
              <w:spacing w:line="276" w:lineRule="auto"/>
              <w:contextualSpacing/>
              <w:rPr>
                <w:rFonts w:ascii="Cambria" w:hAnsi="Cambria"/>
                <w:sz w:val="18"/>
                <w:szCs w:val="18"/>
              </w:rPr>
            </w:pPr>
            <w:r w:rsidRPr="004D220C">
              <w:rPr>
                <w:rFonts w:ascii="Cambria" w:hAnsi="Cambria"/>
                <w:sz w:val="18"/>
                <w:szCs w:val="18"/>
              </w:rPr>
              <w:t>Retirement orders</w:t>
            </w:r>
            <w:r w:rsidR="00505E8E">
              <w:rPr>
                <w:rFonts w:ascii="Cambria" w:hAnsi="Cambria"/>
                <w:sz w:val="18"/>
                <w:szCs w:val="18"/>
              </w:rPr>
              <w:t>.</w:t>
            </w:r>
          </w:p>
          <w:p w:rsidR="00EE436C" w:rsidRDefault="008E416E" w:rsidP="00EE436C">
            <w:pPr>
              <w:numPr>
                <w:ilvl w:val="0"/>
                <w:numId w:val="8"/>
              </w:numPr>
              <w:spacing w:line="276" w:lineRule="auto"/>
              <w:contextualSpacing/>
              <w:rPr>
                <w:rFonts w:ascii="Cambria" w:hAnsi="Cambria"/>
                <w:sz w:val="18"/>
                <w:szCs w:val="18"/>
              </w:rPr>
            </w:pPr>
            <w:r w:rsidRPr="004D220C">
              <w:rPr>
                <w:rFonts w:ascii="Cambria" w:hAnsi="Cambria"/>
                <w:sz w:val="18"/>
                <w:szCs w:val="18"/>
              </w:rPr>
              <w:t>Fleet Reserve orders</w:t>
            </w:r>
            <w:r w:rsidR="00505E8E">
              <w:rPr>
                <w:rFonts w:ascii="Cambria" w:hAnsi="Cambria"/>
                <w:sz w:val="18"/>
                <w:szCs w:val="18"/>
              </w:rPr>
              <w:t>.</w:t>
            </w:r>
          </w:p>
          <w:p w:rsidR="004F62D7" w:rsidRPr="00EE436C" w:rsidRDefault="008E416E" w:rsidP="00266C78">
            <w:pPr>
              <w:numPr>
                <w:ilvl w:val="0"/>
                <w:numId w:val="8"/>
              </w:numPr>
              <w:spacing w:line="276" w:lineRule="auto"/>
              <w:contextualSpacing/>
              <w:rPr>
                <w:rFonts w:ascii="Cambria" w:hAnsi="Cambria"/>
                <w:sz w:val="18"/>
                <w:szCs w:val="18"/>
              </w:rPr>
            </w:pPr>
            <w:r w:rsidRPr="00EE436C">
              <w:rPr>
                <w:rFonts w:ascii="Cambria" w:hAnsi="Cambria"/>
                <w:sz w:val="18"/>
                <w:szCs w:val="18"/>
              </w:rPr>
              <w:t>Enlisted personnel with separation dates who do not intend to re-enlist will be exempt and move when they retire/separate.</w:t>
            </w:r>
          </w:p>
        </w:tc>
      </w:tr>
      <w:tr w:rsidR="00693D19" w:rsidRPr="004D220C" w:rsidTr="00073F37">
        <w:tc>
          <w:tcPr>
            <w:tcW w:w="5485" w:type="dxa"/>
            <w:gridSpan w:val="2"/>
            <w:shd w:val="clear" w:color="auto" w:fill="E8B010"/>
          </w:tcPr>
          <w:p w:rsidR="00693D19" w:rsidRPr="004D220C" w:rsidRDefault="00693D19" w:rsidP="004D220C">
            <w:pPr>
              <w:jc w:val="center"/>
              <w:rPr>
                <w:rFonts w:ascii="Cambria" w:hAnsi="Cambria"/>
                <w:b/>
                <w:spacing w:val="20"/>
                <w:sz w:val="22"/>
              </w:rPr>
            </w:pPr>
            <w:r>
              <w:rPr>
                <w:rFonts w:ascii="Cambria" w:hAnsi="Cambria"/>
                <w:b/>
                <w:spacing w:val="20"/>
                <w:sz w:val="22"/>
              </w:rPr>
              <w:t>Passports</w:t>
            </w:r>
            <w:r w:rsidR="00290874">
              <w:rPr>
                <w:rFonts w:ascii="Cambria" w:hAnsi="Cambria"/>
                <w:b/>
                <w:spacing w:val="20"/>
                <w:sz w:val="22"/>
              </w:rPr>
              <w:t xml:space="preserve"> &amp; Visa Issuance</w:t>
            </w:r>
          </w:p>
        </w:tc>
        <w:tc>
          <w:tcPr>
            <w:tcW w:w="5737" w:type="dxa"/>
            <w:gridSpan w:val="2"/>
            <w:shd w:val="clear" w:color="auto" w:fill="E8B010"/>
          </w:tcPr>
          <w:p w:rsidR="00693D19" w:rsidRPr="004D220C" w:rsidRDefault="00693D19" w:rsidP="004D220C">
            <w:pPr>
              <w:jc w:val="center"/>
              <w:rPr>
                <w:rFonts w:ascii="Cambria" w:hAnsi="Cambria"/>
                <w:b/>
                <w:spacing w:val="20"/>
                <w:sz w:val="22"/>
              </w:rPr>
            </w:pPr>
            <w:r>
              <w:rPr>
                <w:rFonts w:ascii="Cambria" w:hAnsi="Cambria"/>
                <w:b/>
                <w:spacing w:val="20"/>
                <w:sz w:val="22"/>
              </w:rPr>
              <w:t>Detailing</w:t>
            </w:r>
          </w:p>
        </w:tc>
      </w:tr>
      <w:tr w:rsidR="00693D19" w:rsidRPr="004D220C" w:rsidTr="00073F37">
        <w:trPr>
          <w:trHeight w:val="1062"/>
        </w:trPr>
        <w:tc>
          <w:tcPr>
            <w:tcW w:w="5485" w:type="dxa"/>
            <w:gridSpan w:val="2"/>
          </w:tcPr>
          <w:p w:rsidR="004C2A07" w:rsidRPr="00241081" w:rsidRDefault="004C2A07" w:rsidP="004C2A07">
            <w:pPr>
              <w:spacing w:line="276" w:lineRule="auto"/>
              <w:rPr>
                <w:rFonts w:ascii="Cambria" w:hAnsi="Cambria"/>
                <w:sz w:val="6"/>
                <w:szCs w:val="6"/>
              </w:rPr>
            </w:pPr>
          </w:p>
          <w:p w:rsidR="004C2A07" w:rsidRPr="004D220C" w:rsidRDefault="004C2A07" w:rsidP="004C2A07">
            <w:pPr>
              <w:numPr>
                <w:ilvl w:val="0"/>
                <w:numId w:val="8"/>
              </w:numPr>
              <w:spacing w:line="276" w:lineRule="auto"/>
              <w:contextualSpacing/>
              <w:rPr>
                <w:rFonts w:ascii="Cambria" w:hAnsi="Cambria"/>
                <w:sz w:val="18"/>
                <w:szCs w:val="18"/>
              </w:rPr>
            </w:pPr>
            <w:r>
              <w:rPr>
                <w:rFonts w:ascii="Cambria" w:hAnsi="Cambria"/>
                <w:sz w:val="18"/>
                <w:szCs w:val="18"/>
              </w:rPr>
              <w:t xml:space="preserve">Anyone who </w:t>
            </w:r>
            <w:r w:rsidRPr="004C2A07">
              <w:rPr>
                <w:rFonts w:ascii="Cambria" w:hAnsi="Cambria"/>
                <w:sz w:val="18"/>
                <w:szCs w:val="18"/>
              </w:rPr>
              <w:t>requir</w:t>
            </w:r>
            <w:r>
              <w:rPr>
                <w:rFonts w:ascii="Cambria" w:hAnsi="Cambria"/>
                <w:sz w:val="18"/>
                <w:szCs w:val="18"/>
              </w:rPr>
              <w:t>e</w:t>
            </w:r>
            <w:r w:rsidR="00266C78">
              <w:rPr>
                <w:rFonts w:ascii="Cambria" w:hAnsi="Cambria"/>
                <w:sz w:val="18"/>
                <w:szCs w:val="18"/>
              </w:rPr>
              <w:t>s</w:t>
            </w:r>
            <w:r w:rsidRPr="004C2A07">
              <w:rPr>
                <w:rFonts w:ascii="Cambria" w:hAnsi="Cambria"/>
                <w:sz w:val="18"/>
                <w:szCs w:val="18"/>
              </w:rPr>
              <w:t xml:space="preserve"> a no-fee passport </w:t>
            </w:r>
            <w:r w:rsidR="00D05A17">
              <w:rPr>
                <w:rFonts w:ascii="Cambria" w:hAnsi="Cambria"/>
                <w:sz w:val="18"/>
                <w:szCs w:val="18"/>
              </w:rPr>
              <w:t xml:space="preserve">must </w:t>
            </w:r>
            <w:r w:rsidRPr="004C2A07">
              <w:rPr>
                <w:rFonts w:ascii="Cambria" w:hAnsi="Cambria"/>
                <w:sz w:val="18"/>
                <w:szCs w:val="18"/>
              </w:rPr>
              <w:t xml:space="preserve">submit </w:t>
            </w:r>
            <w:r w:rsidR="00D05A17">
              <w:rPr>
                <w:rFonts w:ascii="Cambria" w:hAnsi="Cambria"/>
                <w:sz w:val="18"/>
                <w:szCs w:val="18"/>
              </w:rPr>
              <w:t>a passport application</w:t>
            </w:r>
            <w:r w:rsidRPr="004C2A07">
              <w:rPr>
                <w:rFonts w:ascii="Cambria" w:hAnsi="Cambria"/>
                <w:sz w:val="18"/>
                <w:szCs w:val="18"/>
              </w:rPr>
              <w:t xml:space="preserve"> to the local passport acceptance facility</w:t>
            </w:r>
            <w:r w:rsidR="00D05A17">
              <w:rPr>
                <w:rFonts w:ascii="Cambria" w:hAnsi="Cambria"/>
                <w:sz w:val="18"/>
                <w:szCs w:val="18"/>
              </w:rPr>
              <w:t xml:space="preserve"> </w:t>
            </w:r>
            <w:proofErr w:type="gramStart"/>
            <w:r w:rsidR="00D05A17">
              <w:rPr>
                <w:rFonts w:ascii="Cambria" w:hAnsi="Cambria"/>
                <w:sz w:val="18"/>
                <w:szCs w:val="18"/>
              </w:rPr>
              <w:t xml:space="preserve">between 45-60 before their </w:t>
            </w:r>
            <w:r w:rsidRPr="004C2A07">
              <w:rPr>
                <w:rFonts w:ascii="Cambria" w:hAnsi="Cambria"/>
                <w:sz w:val="18"/>
                <w:szCs w:val="18"/>
              </w:rPr>
              <w:t>departure date</w:t>
            </w:r>
            <w:proofErr w:type="gramEnd"/>
            <w:r w:rsidRPr="004C2A07">
              <w:rPr>
                <w:rFonts w:ascii="Cambria" w:hAnsi="Cambria"/>
                <w:sz w:val="18"/>
                <w:szCs w:val="18"/>
              </w:rPr>
              <w:t>.</w:t>
            </w:r>
          </w:p>
          <w:p w:rsidR="004C2A07" w:rsidRPr="00241081" w:rsidRDefault="004C2A07" w:rsidP="004C2A07">
            <w:pPr>
              <w:spacing w:line="276" w:lineRule="auto"/>
              <w:ind w:left="144"/>
              <w:contextualSpacing/>
              <w:rPr>
                <w:rFonts w:ascii="Cambria" w:hAnsi="Cambria"/>
                <w:sz w:val="6"/>
                <w:szCs w:val="6"/>
              </w:rPr>
            </w:pPr>
          </w:p>
          <w:p w:rsidR="00290874" w:rsidRPr="00290874" w:rsidRDefault="00D05A17" w:rsidP="00D05A17">
            <w:pPr>
              <w:numPr>
                <w:ilvl w:val="0"/>
                <w:numId w:val="8"/>
              </w:numPr>
              <w:spacing w:line="276" w:lineRule="auto"/>
              <w:contextualSpacing/>
              <w:rPr>
                <w:rFonts w:ascii="Cambria" w:hAnsi="Cambria"/>
                <w:sz w:val="18"/>
                <w:szCs w:val="18"/>
              </w:rPr>
            </w:pPr>
            <w:r w:rsidRPr="00D05A17">
              <w:rPr>
                <w:rFonts w:ascii="Cambria" w:hAnsi="Cambria"/>
                <w:sz w:val="18"/>
                <w:szCs w:val="18"/>
              </w:rPr>
              <w:t xml:space="preserve">If a visa is </w:t>
            </w:r>
            <w:r w:rsidRPr="00F03289">
              <w:rPr>
                <w:rFonts w:ascii="Cambria" w:hAnsi="Cambria"/>
                <w:b/>
                <w:sz w:val="18"/>
                <w:szCs w:val="18"/>
                <w:u w:val="single"/>
              </w:rPr>
              <w:t>also</w:t>
            </w:r>
            <w:r w:rsidRPr="00D05A17">
              <w:rPr>
                <w:rFonts w:ascii="Cambria" w:hAnsi="Cambria"/>
                <w:sz w:val="18"/>
                <w:szCs w:val="18"/>
              </w:rPr>
              <w:t xml:space="preserve"> required, the passport application </w:t>
            </w:r>
            <w:r w:rsidR="00EE436C">
              <w:rPr>
                <w:rFonts w:ascii="Cambria" w:hAnsi="Cambria"/>
                <w:sz w:val="18"/>
                <w:szCs w:val="18"/>
              </w:rPr>
              <w:t xml:space="preserve">must be </w:t>
            </w:r>
            <w:r w:rsidRPr="00D05A17">
              <w:rPr>
                <w:rFonts w:ascii="Cambria" w:hAnsi="Cambria"/>
                <w:sz w:val="18"/>
                <w:szCs w:val="18"/>
              </w:rPr>
              <w:t xml:space="preserve">submitted </w:t>
            </w:r>
            <w:r>
              <w:rPr>
                <w:rFonts w:ascii="Cambria" w:hAnsi="Cambria"/>
                <w:sz w:val="18"/>
                <w:szCs w:val="18"/>
              </w:rPr>
              <w:t xml:space="preserve">between 65-80 days before their </w:t>
            </w:r>
            <w:r w:rsidRPr="00D05A17">
              <w:rPr>
                <w:rFonts w:ascii="Cambria" w:hAnsi="Cambria"/>
                <w:sz w:val="18"/>
                <w:szCs w:val="18"/>
              </w:rPr>
              <w:t xml:space="preserve">departure date.  </w:t>
            </w:r>
          </w:p>
        </w:tc>
        <w:tc>
          <w:tcPr>
            <w:tcW w:w="5737" w:type="dxa"/>
            <w:gridSpan w:val="2"/>
          </w:tcPr>
          <w:p w:rsidR="004C2A07" w:rsidRPr="00241081" w:rsidRDefault="004C2A07" w:rsidP="004C2A07">
            <w:pPr>
              <w:spacing w:line="276" w:lineRule="auto"/>
              <w:rPr>
                <w:rFonts w:ascii="Cambria" w:hAnsi="Cambria"/>
                <w:sz w:val="6"/>
                <w:szCs w:val="6"/>
              </w:rPr>
            </w:pPr>
          </w:p>
          <w:p w:rsidR="004C2A07" w:rsidRDefault="004C2A07" w:rsidP="004C2A07">
            <w:pPr>
              <w:numPr>
                <w:ilvl w:val="0"/>
                <w:numId w:val="8"/>
              </w:numPr>
              <w:spacing w:line="276" w:lineRule="auto"/>
              <w:contextualSpacing/>
              <w:rPr>
                <w:rFonts w:ascii="Cambria" w:hAnsi="Cambria"/>
                <w:sz w:val="18"/>
                <w:szCs w:val="18"/>
              </w:rPr>
            </w:pPr>
            <w:r w:rsidRPr="004C2A07">
              <w:rPr>
                <w:rFonts w:ascii="Cambria" w:hAnsi="Cambria"/>
                <w:sz w:val="18"/>
                <w:szCs w:val="18"/>
              </w:rPr>
              <w:t xml:space="preserve">Detailers at the Navy Personnel Command (NPC) are calling Sailors with orders between </w:t>
            </w:r>
            <w:proofErr w:type="gramStart"/>
            <w:r w:rsidRPr="004C2A07">
              <w:rPr>
                <w:rFonts w:ascii="Cambria" w:hAnsi="Cambria"/>
                <w:sz w:val="18"/>
                <w:szCs w:val="18"/>
              </w:rPr>
              <w:t>March</w:t>
            </w:r>
            <w:proofErr w:type="gramEnd"/>
            <w:r w:rsidRPr="004C2A07">
              <w:rPr>
                <w:rFonts w:ascii="Cambria" w:hAnsi="Cambria"/>
                <w:sz w:val="18"/>
                <w:szCs w:val="18"/>
              </w:rPr>
              <w:t xml:space="preserve"> - September 2020</w:t>
            </w:r>
            <w:r w:rsidR="00266C78">
              <w:rPr>
                <w:rFonts w:ascii="Cambria" w:hAnsi="Cambria"/>
                <w:sz w:val="18"/>
                <w:szCs w:val="18"/>
              </w:rPr>
              <w:t>.</w:t>
            </w:r>
          </w:p>
          <w:p w:rsidR="004C2A07" w:rsidRPr="004C2A07" w:rsidRDefault="004C2A07" w:rsidP="004C2A07">
            <w:pPr>
              <w:spacing w:line="276" w:lineRule="auto"/>
              <w:ind w:left="144"/>
              <w:contextualSpacing/>
              <w:rPr>
                <w:rFonts w:ascii="Cambria" w:hAnsi="Cambria"/>
                <w:sz w:val="8"/>
                <w:szCs w:val="8"/>
              </w:rPr>
            </w:pPr>
          </w:p>
          <w:p w:rsidR="00693D19" w:rsidRPr="004C2A07" w:rsidRDefault="004C2A07" w:rsidP="004C2A07">
            <w:pPr>
              <w:numPr>
                <w:ilvl w:val="0"/>
                <w:numId w:val="8"/>
              </w:numPr>
              <w:spacing w:line="276" w:lineRule="auto"/>
              <w:contextualSpacing/>
              <w:rPr>
                <w:rFonts w:ascii="Cambria" w:hAnsi="Cambria"/>
                <w:sz w:val="18"/>
                <w:szCs w:val="18"/>
              </w:rPr>
            </w:pPr>
            <w:r w:rsidRPr="004C2A07">
              <w:rPr>
                <w:rFonts w:ascii="Cambria" w:hAnsi="Cambria"/>
                <w:sz w:val="18"/>
                <w:szCs w:val="18"/>
              </w:rPr>
              <w:t>Personnel with projected moves after September 2020 need to work with their detailer to ensure a relief has been identified and a face-to-face turnover is possible.</w:t>
            </w:r>
          </w:p>
        </w:tc>
      </w:tr>
      <w:tr w:rsidR="004D220C" w:rsidRPr="004D220C" w:rsidTr="004D220C">
        <w:tc>
          <w:tcPr>
            <w:tcW w:w="11222" w:type="dxa"/>
            <w:gridSpan w:val="4"/>
            <w:shd w:val="clear" w:color="auto" w:fill="E8B010"/>
          </w:tcPr>
          <w:p w:rsidR="004D220C" w:rsidRPr="004D220C" w:rsidRDefault="004D220C" w:rsidP="004D220C">
            <w:pPr>
              <w:jc w:val="center"/>
              <w:rPr>
                <w:rFonts w:ascii="Cambria" w:hAnsi="Cambria"/>
                <w:b/>
                <w:spacing w:val="20"/>
                <w:sz w:val="22"/>
              </w:rPr>
            </w:pPr>
            <w:r w:rsidRPr="004D220C">
              <w:rPr>
                <w:rFonts w:ascii="Cambria" w:hAnsi="Cambria"/>
                <w:b/>
                <w:spacing w:val="20"/>
                <w:sz w:val="22"/>
              </w:rPr>
              <w:t>Policy Guidance</w:t>
            </w:r>
            <w:r w:rsidR="00DA47B9">
              <w:rPr>
                <w:rFonts w:ascii="Cambria" w:hAnsi="Cambria"/>
                <w:b/>
                <w:spacing w:val="20"/>
                <w:sz w:val="22"/>
              </w:rPr>
              <w:t xml:space="preserve"> Links</w:t>
            </w:r>
            <w:r w:rsidRPr="004D220C">
              <w:rPr>
                <w:rFonts w:ascii="Cambria" w:hAnsi="Cambria"/>
                <w:b/>
                <w:spacing w:val="20"/>
                <w:sz w:val="22"/>
              </w:rPr>
              <w:t>:</w:t>
            </w:r>
          </w:p>
        </w:tc>
      </w:tr>
      <w:tr w:rsidR="00AD10EF" w:rsidRPr="004D220C" w:rsidTr="00FE60CE">
        <w:trPr>
          <w:trHeight w:val="1061"/>
        </w:trPr>
        <w:tc>
          <w:tcPr>
            <w:tcW w:w="11222" w:type="dxa"/>
            <w:gridSpan w:val="4"/>
            <w:shd w:val="clear" w:color="auto" w:fill="D9D9D9" w:themeFill="background1" w:themeFillShade="D9"/>
          </w:tcPr>
          <w:p w:rsidR="009E42F4" w:rsidRPr="00FE60CE" w:rsidRDefault="009E42F4" w:rsidP="00DA47B9">
            <w:pPr>
              <w:rPr>
                <w:rFonts w:ascii="Cambria" w:hAnsi="Cambria"/>
                <w:sz w:val="8"/>
                <w:szCs w:val="8"/>
              </w:rPr>
            </w:pPr>
          </w:p>
          <w:p w:rsidR="00D05A17" w:rsidRPr="00FE60CE" w:rsidRDefault="009E42F4" w:rsidP="001C1017">
            <w:pPr>
              <w:pStyle w:val="ListParagraph"/>
              <w:numPr>
                <w:ilvl w:val="0"/>
                <w:numId w:val="12"/>
              </w:numPr>
              <w:rPr>
                <w:rFonts w:ascii="Cambria" w:hAnsi="Cambria"/>
                <w:sz w:val="17"/>
                <w:szCs w:val="17"/>
              </w:rPr>
            </w:pPr>
            <w:r w:rsidRPr="00FE60CE">
              <w:rPr>
                <w:rFonts w:ascii="Cambria" w:hAnsi="Cambria"/>
                <w:sz w:val="17"/>
                <w:szCs w:val="17"/>
              </w:rPr>
              <w:t>NAVADMIN</w:t>
            </w:r>
            <w:r w:rsidR="00DA47B9" w:rsidRPr="00FE60CE">
              <w:rPr>
                <w:rFonts w:ascii="Cambria" w:hAnsi="Cambria"/>
                <w:sz w:val="17"/>
                <w:szCs w:val="17"/>
              </w:rPr>
              <w:t xml:space="preserve"> </w:t>
            </w:r>
            <w:r w:rsidR="00681E59" w:rsidRPr="00FE60CE">
              <w:rPr>
                <w:rFonts w:ascii="Cambria" w:hAnsi="Cambria"/>
                <w:color w:val="000000" w:themeColor="text1"/>
                <w:sz w:val="17"/>
                <w:szCs w:val="17"/>
              </w:rPr>
              <w:t>169/</w:t>
            </w:r>
            <w:r w:rsidR="00DA47B9" w:rsidRPr="00FE60CE">
              <w:rPr>
                <w:rFonts w:ascii="Cambria" w:hAnsi="Cambria"/>
                <w:color w:val="000000" w:themeColor="text1"/>
                <w:sz w:val="17"/>
                <w:szCs w:val="17"/>
              </w:rPr>
              <w:t xml:space="preserve">20 </w:t>
            </w:r>
            <w:r w:rsidR="00DA47B9" w:rsidRPr="00FE60CE">
              <w:rPr>
                <w:rFonts w:ascii="Cambria" w:hAnsi="Cambria"/>
                <w:sz w:val="17"/>
                <w:szCs w:val="17"/>
              </w:rPr>
              <w:t>- Current PCS Restart Guidance:</w:t>
            </w:r>
          </w:p>
          <w:p w:rsidR="00AC5B8C" w:rsidRPr="00FE60CE" w:rsidRDefault="00D05A17" w:rsidP="00D05A17">
            <w:pPr>
              <w:pStyle w:val="ListParagraph"/>
              <w:ind w:left="144"/>
              <w:rPr>
                <w:rStyle w:val="Hyperlink"/>
                <w:rFonts w:ascii="Cambria" w:hAnsi="Cambria"/>
                <w:color w:val="auto"/>
                <w:sz w:val="17"/>
                <w:szCs w:val="17"/>
                <w:u w:val="none"/>
              </w:rPr>
            </w:pPr>
            <w:r w:rsidRPr="00FE60CE">
              <w:rPr>
                <w:rFonts w:ascii="Cambria" w:hAnsi="Cambria"/>
                <w:sz w:val="17"/>
                <w:szCs w:val="17"/>
              </w:rPr>
              <w:t xml:space="preserve">     </w:t>
            </w:r>
            <w:hyperlink r:id="rId9" w:history="1">
              <w:r w:rsidR="00681E59" w:rsidRPr="00FE60CE">
                <w:rPr>
                  <w:rStyle w:val="Hyperlink"/>
                  <w:rFonts w:ascii="Cambria" w:hAnsi="Cambria"/>
                  <w:sz w:val="17"/>
                  <w:szCs w:val="17"/>
                </w:rPr>
                <w:t>https://www.public.navy.mil/bupers-npc/reference/messages/Documents/NAVADMINS/NAV2020/NAV20169.txt</w:t>
              </w:r>
            </w:hyperlink>
            <w:r w:rsidR="00681E59" w:rsidRPr="00FE60CE">
              <w:rPr>
                <w:rStyle w:val="Hyperlink"/>
                <w:rFonts w:ascii="Cambria" w:hAnsi="Cambria"/>
                <w:color w:val="auto"/>
                <w:sz w:val="17"/>
                <w:szCs w:val="17"/>
                <w:u w:val="none"/>
              </w:rPr>
              <w:t xml:space="preserve"> </w:t>
            </w:r>
          </w:p>
          <w:p w:rsidR="001C1017" w:rsidRPr="00FE60CE" w:rsidRDefault="001C1017" w:rsidP="001C1017">
            <w:pPr>
              <w:pStyle w:val="ListParagraph"/>
              <w:ind w:left="144"/>
              <w:rPr>
                <w:rStyle w:val="Hyperlink"/>
                <w:rFonts w:ascii="Cambria" w:hAnsi="Cambria"/>
                <w:color w:val="auto"/>
                <w:sz w:val="8"/>
                <w:szCs w:val="8"/>
                <w:u w:val="none"/>
              </w:rPr>
            </w:pPr>
          </w:p>
          <w:p w:rsidR="0024202E" w:rsidRPr="00D05A17" w:rsidRDefault="001C1017" w:rsidP="00D05A17">
            <w:pPr>
              <w:pStyle w:val="ListParagraph"/>
              <w:numPr>
                <w:ilvl w:val="0"/>
                <w:numId w:val="12"/>
              </w:numPr>
              <w:rPr>
                <w:rFonts w:ascii="Cambria" w:hAnsi="Cambria"/>
                <w:sz w:val="17"/>
                <w:szCs w:val="17"/>
              </w:rPr>
            </w:pPr>
            <w:r w:rsidRPr="00FE60CE">
              <w:rPr>
                <w:rFonts w:ascii="Cambria" w:hAnsi="Cambria"/>
                <w:sz w:val="17"/>
                <w:szCs w:val="17"/>
              </w:rPr>
              <w:t xml:space="preserve">OSD Memo </w:t>
            </w:r>
            <w:proofErr w:type="spellStart"/>
            <w:r w:rsidRPr="00FE60CE">
              <w:rPr>
                <w:rFonts w:ascii="Cambria" w:hAnsi="Cambria"/>
                <w:sz w:val="17"/>
                <w:szCs w:val="17"/>
              </w:rPr>
              <w:t>dtd</w:t>
            </w:r>
            <w:proofErr w:type="spellEnd"/>
            <w:r w:rsidRPr="00FE60CE">
              <w:rPr>
                <w:rFonts w:ascii="Cambria" w:hAnsi="Cambria"/>
                <w:sz w:val="17"/>
                <w:szCs w:val="17"/>
              </w:rPr>
              <w:t xml:space="preserve"> 22 May 2020: </w:t>
            </w:r>
            <w:r w:rsidR="00D05A17" w:rsidRPr="00FE60CE">
              <w:rPr>
                <w:rFonts w:ascii="Cambria" w:hAnsi="Cambria"/>
                <w:sz w:val="17"/>
                <w:szCs w:val="17"/>
              </w:rPr>
              <w:t xml:space="preserve">  </w:t>
            </w:r>
            <w:hyperlink r:id="rId10" w:history="1">
              <w:r w:rsidRPr="00FE60CE">
                <w:rPr>
                  <w:rStyle w:val="Hyperlink"/>
                  <w:rFonts w:ascii="Cambria" w:hAnsi="Cambria"/>
                  <w:sz w:val="17"/>
                  <w:szCs w:val="17"/>
                </w:rPr>
                <w:t>https://media.defense.gov/2020/May/26/2002305766/-1/-1/1/TRANSITION-TO-CONDITIONS-BASED-PHASED-APPROACH-TO-%20COVID-19-PERSONNEL-MOVEMENT-AND-TRAVEL-RESTRICTIONS.PDF</w:t>
              </w:r>
            </w:hyperlink>
            <w:r w:rsidRPr="001C1017">
              <w:rPr>
                <w:rFonts w:ascii="Cambria" w:hAnsi="Cambria"/>
                <w:sz w:val="17"/>
                <w:szCs w:val="17"/>
              </w:rPr>
              <w:t xml:space="preserve"> </w:t>
            </w:r>
          </w:p>
        </w:tc>
      </w:tr>
    </w:tbl>
    <w:p w:rsidR="00113735" w:rsidRDefault="00113735" w:rsidP="00D05A17">
      <w:pPr>
        <w:rPr>
          <w:rFonts w:ascii="Cambria" w:hAnsi="Cambria"/>
          <w:sz w:val="12"/>
          <w:szCs w:val="12"/>
        </w:rPr>
      </w:pPr>
    </w:p>
    <w:p w:rsidR="00A470E2" w:rsidRDefault="00A470E2">
      <w:pPr>
        <w:rPr>
          <w:rFonts w:ascii="Cambria" w:hAnsi="Cambria"/>
          <w:sz w:val="12"/>
          <w:szCs w:val="12"/>
        </w:rPr>
      </w:pPr>
      <w:r>
        <w:rPr>
          <w:rFonts w:ascii="Cambria" w:hAnsi="Cambria"/>
          <w:sz w:val="12"/>
          <w:szCs w:val="12"/>
        </w:rPr>
        <w:br w:type="page"/>
      </w:r>
    </w:p>
    <w:p w:rsidR="00A470E2" w:rsidRPr="00CF43EB" w:rsidRDefault="00A470E2" w:rsidP="00A470E2">
      <w:pPr>
        <w:rPr>
          <w:b/>
          <w:sz w:val="22"/>
        </w:rPr>
      </w:pPr>
      <w:r w:rsidRPr="00CF43EB">
        <w:rPr>
          <w:b/>
          <w:sz w:val="22"/>
        </w:rPr>
        <w:lastRenderedPageBreak/>
        <w:t>Q1: How will it work if members are in an area not open for PCS but they are going to an area that is open?</w:t>
      </w:r>
    </w:p>
    <w:p w:rsidR="00A470E2" w:rsidRPr="00CF43EB" w:rsidRDefault="00A470E2" w:rsidP="00A470E2">
      <w:pPr>
        <w:rPr>
          <w:b/>
          <w:sz w:val="6"/>
          <w:szCs w:val="6"/>
        </w:rPr>
      </w:pPr>
    </w:p>
    <w:p w:rsidR="002C34FB" w:rsidRPr="002C34FB" w:rsidRDefault="00A470E2" w:rsidP="00A470E2">
      <w:pPr>
        <w:rPr>
          <w:sz w:val="22"/>
        </w:rPr>
      </w:pPr>
      <w:r w:rsidRPr="00CF43EB">
        <w:rPr>
          <w:sz w:val="22"/>
        </w:rPr>
        <w:t xml:space="preserve">A1:  The Navy will follow all Dept. of Defense criteria for lifting restrictions on travel and PCS orders.  These criteria will take into account local conditions in countries, states, and installations based on prevailing COVID risk conditions.  In areas remaining under stop movement conditions, the exemption and waiver processes put in place will continue to apply. PCS orders will continue to include Restriction of Movement (ROM) periods for Sailors traveling to or from these areas, to include intermediate stops. </w:t>
      </w:r>
      <w:r w:rsidR="002C34FB" w:rsidRPr="002C34FB">
        <w:rPr>
          <w:sz w:val="22"/>
        </w:rPr>
        <w:t>Even though gaining and losing locations may be “green,” if an intermediate stop on your orders is “red” you may still require a waiver.</w:t>
      </w:r>
    </w:p>
    <w:p w:rsidR="002C34FB" w:rsidRDefault="002C34FB" w:rsidP="00A470E2">
      <w:pPr>
        <w:rPr>
          <w:rFonts w:ascii="Cambria" w:eastAsia="Calibri" w:hAnsi="Cambria" w:cs="Times New Roman"/>
          <w:sz w:val="18"/>
          <w:szCs w:val="18"/>
        </w:rPr>
      </w:pPr>
    </w:p>
    <w:p w:rsidR="00A470E2" w:rsidRPr="00CF43EB" w:rsidRDefault="00A470E2" w:rsidP="00A470E2">
      <w:pPr>
        <w:rPr>
          <w:b/>
          <w:sz w:val="22"/>
        </w:rPr>
      </w:pPr>
      <w:r w:rsidRPr="00CF43EB">
        <w:rPr>
          <w:b/>
          <w:sz w:val="22"/>
        </w:rPr>
        <w:t>Q2:  How many Sailors were impacted by the stop movement?</w:t>
      </w:r>
    </w:p>
    <w:p w:rsidR="00A470E2" w:rsidRPr="00CF43EB" w:rsidRDefault="00A470E2" w:rsidP="00A470E2">
      <w:pPr>
        <w:rPr>
          <w:b/>
          <w:sz w:val="6"/>
          <w:szCs w:val="6"/>
        </w:rPr>
      </w:pPr>
    </w:p>
    <w:p w:rsidR="00A470E2" w:rsidRPr="00CF43EB" w:rsidRDefault="00A470E2" w:rsidP="00A470E2">
      <w:pPr>
        <w:rPr>
          <w:sz w:val="22"/>
        </w:rPr>
      </w:pPr>
      <w:r w:rsidRPr="00CF43EB">
        <w:rPr>
          <w:sz w:val="22"/>
        </w:rPr>
        <w:t>A2:  The SECDEF-directed stop movement of all service members has forced Sailors with transfer dates in March through June to delay their PCS. Combined with the orders in July, the Navy’s transfer backlog is approximately 42,000 Sailors which will be spread across calendar year 2020 and into 2021.</w:t>
      </w:r>
    </w:p>
    <w:p w:rsidR="00A470E2" w:rsidRPr="00CF43EB" w:rsidRDefault="00A470E2" w:rsidP="00A470E2">
      <w:pPr>
        <w:rPr>
          <w:sz w:val="18"/>
          <w:szCs w:val="18"/>
        </w:rPr>
      </w:pPr>
    </w:p>
    <w:p w:rsidR="00A470E2" w:rsidRPr="00CF43EB" w:rsidRDefault="00A470E2" w:rsidP="00A470E2">
      <w:pPr>
        <w:rPr>
          <w:b/>
          <w:sz w:val="22"/>
        </w:rPr>
      </w:pPr>
      <w:r w:rsidRPr="00CF43EB">
        <w:rPr>
          <w:b/>
          <w:sz w:val="22"/>
        </w:rPr>
        <w:t>Q3:  What is the Navy’s plan to start moving Sailors again?</w:t>
      </w:r>
    </w:p>
    <w:p w:rsidR="00A470E2" w:rsidRPr="00CF43EB" w:rsidRDefault="00A470E2" w:rsidP="00A470E2">
      <w:pPr>
        <w:rPr>
          <w:b/>
          <w:sz w:val="6"/>
          <w:szCs w:val="6"/>
        </w:rPr>
      </w:pPr>
    </w:p>
    <w:p w:rsidR="00A470E2" w:rsidRPr="00CF43EB" w:rsidRDefault="00A470E2" w:rsidP="00A470E2">
      <w:pPr>
        <w:rPr>
          <w:sz w:val="22"/>
        </w:rPr>
      </w:pPr>
      <w:r w:rsidRPr="00CF43EB">
        <w:rPr>
          <w:sz w:val="22"/>
        </w:rPr>
        <w:t>A3:  Our ultimate goal is to preserve the U.S. Navy’s maritime superiority by focusing on fleet readiness.  NPC will use every option available to maintain fleet readiness. Options to maintain readiness include prioritizing all PCS moves based on the priority of the billet, incentivizing sea duty, and adjusting the officer or enlisted Sailor’s projected detachment date.</w:t>
      </w:r>
    </w:p>
    <w:p w:rsidR="00A470E2" w:rsidRPr="00CF43EB" w:rsidRDefault="00A470E2" w:rsidP="00A470E2">
      <w:pPr>
        <w:rPr>
          <w:sz w:val="18"/>
          <w:szCs w:val="18"/>
        </w:rPr>
      </w:pPr>
    </w:p>
    <w:p w:rsidR="00A470E2" w:rsidRPr="00CF43EB" w:rsidRDefault="00A470E2" w:rsidP="00A470E2">
      <w:pPr>
        <w:rPr>
          <w:b/>
          <w:sz w:val="22"/>
        </w:rPr>
      </w:pPr>
      <w:r w:rsidRPr="00CF43EB">
        <w:rPr>
          <w:b/>
          <w:sz w:val="22"/>
        </w:rPr>
        <w:t>Q4:  What are the commands that are prioritized?</w:t>
      </w:r>
    </w:p>
    <w:p w:rsidR="00A470E2" w:rsidRPr="00CF43EB" w:rsidRDefault="00A470E2" w:rsidP="00A470E2">
      <w:pPr>
        <w:rPr>
          <w:b/>
          <w:sz w:val="6"/>
          <w:szCs w:val="6"/>
        </w:rPr>
      </w:pPr>
    </w:p>
    <w:p w:rsidR="00A470E2" w:rsidRPr="00CF43EB" w:rsidRDefault="00A470E2" w:rsidP="00A470E2">
      <w:pPr>
        <w:rPr>
          <w:sz w:val="22"/>
        </w:rPr>
      </w:pPr>
      <w:r>
        <w:rPr>
          <w:sz w:val="22"/>
        </w:rPr>
        <w:t xml:space="preserve">A4:  </w:t>
      </w:r>
      <w:r w:rsidRPr="00CF43EB">
        <w:rPr>
          <w:sz w:val="22"/>
        </w:rPr>
        <w:t xml:space="preserve">High priority commands are operational sea duty commands.  The priority for </w:t>
      </w:r>
      <w:r>
        <w:rPr>
          <w:sz w:val="22"/>
        </w:rPr>
        <w:t xml:space="preserve">having their billets filled </w:t>
      </w:r>
      <w:r w:rsidRPr="00CF43EB">
        <w:rPr>
          <w:sz w:val="22"/>
        </w:rPr>
        <w:t xml:space="preserve">is determined by NPC using the Commander, U.S. Fleet Forces Command/Commander U.S. Pacific Fleet Notice 1000 of August 16, 2019 that sets sea manning unit target levels. These include commands that are on operational sea duty to include strategic and special operations forces, Forward Deployed Naval Forces (FDNF) and Optimized Fleet Response Plan (OFRP) units with a published manning date (M-date), normally 12 months prior to the deployment date. Additionally, in order of decreasing priority, the following billets will also be prioritized: </w:t>
      </w:r>
    </w:p>
    <w:p w:rsidR="00A470E2" w:rsidRPr="00CF43EB" w:rsidRDefault="00A470E2" w:rsidP="00A2724C">
      <w:pPr>
        <w:ind w:left="360" w:hanging="360"/>
        <w:rPr>
          <w:sz w:val="22"/>
        </w:rPr>
      </w:pPr>
      <w:r>
        <w:rPr>
          <w:sz w:val="22"/>
        </w:rPr>
        <w:t xml:space="preserve"> </w:t>
      </w:r>
      <w:r w:rsidR="00A2724C">
        <w:rPr>
          <w:sz w:val="22"/>
        </w:rPr>
        <w:t>- C</w:t>
      </w:r>
      <w:r w:rsidRPr="00CF43EB">
        <w:rPr>
          <w:sz w:val="22"/>
        </w:rPr>
        <w:t xml:space="preserve">ritical accessions pipeline billets at Recruit Training Command, Officer Training Command, Navy Recruiting </w:t>
      </w:r>
      <w:r>
        <w:rPr>
          <w:sz w:val="22"/>
        </w:rPr>
        <w:tab/>
      </w:r>
      <w:r w:rsidRPr="00CF43EB">
        <w:rPr>
          <w:sz w:val="22"/>
        </w:rPr>
        <w:t xml:space="preserve">Command, and essential production support training sites; </w:t>
      </w:r>
    </w:p>
    <w:p w:rsidR="00A470E2" w:rsidRPr="00CF43EB" w:rsidRDefault="00A470E2" w:rsidP="00A2724C">
      <w:pPr>
        <w:ind w:left="360" w:hanging="360"/>
        <w:rPr>
          <w:sz w:val="22"/>
        </w:rPr>
      </w:pPr>
      <w:r>
        <w:rPr>
          <w:sz w:val="22"/>
        </w:rPr>
        <w:t xml:space="preserve"> </w:t>
      </w:r>
      <w:r w:rsidRPr="00CF43EB">
        <w:rPr>
          <w:sz w:val="22"/>
        </w:rPr>
        <w:t xml:space="preserve">- </w:t>
      </w:r>
      <w:r w:rsidR="00A2724C">
        <w:rPr>
          <w:sz w:val="22"/>
        </w:rPr>
        <w:t>M</w:t>
      </w:r>
      <w:r w:rsidRPr="00CF43EB">
        <w:rPr>
          <w:sz w:val="22"/>
        </w:rPr>
        <w:t>ilestone billets, key billets, special program billets, and students heading to civilian or service schools</w:t>
      </w:r>
      <w:r w:rsidR="00A2724C">
        <w:rPr>
          <w:sz w:val="22"/>
        </w:rPr>
        <w:t xml:space="preserve"> (NWC, NPS, etc.)</w:t>
      </w:r>
    </w:p>
    <w:p w:rsidR="00A470E2" w:rsidRPr="00CF43EB" w:rsidRDefault="00A470E2" w:rsidP="00A2724C">
      <w:pPr>
        <w:ind w:left="270" w:hanging="270"/>
        <w:rPr>
          <w:sz w:val="22"/>
        </w:rPr>
      </w:pPr>
      <w:r w:rsidRPr="00CF43EB">
        <w:rPr>
          <w:sz w:val="22"/>
        </w:rPr>
        <w:t xml:space="preserve">- </w:t>
      </w:r>
      <w:r w:rsidR="00A2724C">
        <w:rPr>
          <w:sz w:val="22"/>
        </w:rPr>
        <w:t>B</w:t>
      </w:r>
      <w:r w:rsidRPr="00CF43EB">
        <w:rPr>
          <w:sz w:val="22"/>
        </w:rPr>
        <w:t>illets outside of the continental U.S. (OCONUS) shore duty, Major or Numbered Fl</w:t>
      </w:r>
      <w:r w:rsidR="00A2724C">
        <w:rPr>
          <w:sz w:val="22"/>
        </w:rPr>
        <w:t xml:space="preserve">eet Staffs, Combatant Commander </w:t>
      </w:r>
      <w:proofErr w:type="gramStart"/>
      <w:r w:rsidRPr="00CF43EB">
        <w:rPr>
          <w:sz w:val="22"/>
        </w:rPr>
        <w:t>staffs</w:t>
      </w:r>
      <w:proofErr w:type="gramEnd"/>
      <w:r w:rsidRPr="00CF43EB">
        <w:rPr>
          <w:sz w:val="22"/>
        </w:rPr>
        <w:t>, or Joint Staff and OSD;</w:t>
      </w:r>
    </w:p>
    <w:p w:rsidR="00A470E2" w:rsidRPr="00CF43EB" w:rsidRDefault="00A470E2" w:rsidP="00A2724C">
      <w:pPr>
        <w:ind w:left="360" w:hanging="360"/>
        <w:rPr>
          <w:sz w:val="22"/>
        </w:rPr>
      </w:pPr>
      <w:r w:rsidRPr="00CF43EB">
        <w:rPr>
          <w:sz w:val="22"/>
        </w:rPr>
        <w:t xml:space="preserve">- </w:t>
      </w:r>
      <w:r w:rsidR="00A2724C">
        <w:rPr>
          <w:sz w:val="22"/>
        </w:rPr>
        <w:t>N</w:t>
      </w:r>
      <w:r w:rsidRPr="00CF43EB">
        <w:rPr>
          <w:sz w:val="22"/>
        </w:rPr>
        <w:t xml:space="preserve">on-operational sea duty billets to include units in maintenance and pre-commissioned status; </w:t>
      </w:r>
    </w:p>
    <w:p w:rsidR="00A470E2" w:rsidRPr="00CF43EB" w:rsidRDefault="00A470E2" w:rsidP="00A2724C">
      <w:pPr>
        <w:ind w:left="360" w:hanging="360"/>
        <w:rPr>
          <w:sz w:val="22"/>
        </w:rPr>
      </w:pPr>
      <w:r w:rsidRPr="00CF43EB">
        <w:rPr>
          <w:sz w:val="22"/>
        </w:rPr>
        <w:t xml:space="preserve">- </w:t>
      </w:r>
      <w:r w:rsidR="00A2724C">
        <w:rPr>
          <w:sz w:val="22"/>
        </w:rPr>
        <w:t>A</w:t>
      </w:r>
      <w:r w:rsidRPr="00CF43EB">
        <w:rPr>
          <w:sz w:val="22"/>
        </w:rPr>
        <w:t>ll continental U.S. shore duty billets will be the last priority.</w:t>
      </w:r>
    </w:p>
    <w:p w:rsidR="00A470E2" w:rsidRPr="00CF43EB" w:rsidRDefault="00A470E2" w:rsidP="00A470E2">
      <w:pPr>
        <w:rPr>
          <w:sz w:val="18"/>
          <w:szCs w:val="18"/>
        </w:rPr>
      </w:pPr>
    </w:p>
    <w:p w:rsidR="00A470E2" w:rsidRPr="00CF43EB" w:rsidRDefault="00A470E2" w:rsidP="00A470E2">
      <w:pPr>
        <w:rPr>
          <w:b/>
          <w:sz w:val="22"/>
        </w:rPr>
      </w:pPr>
      <w:r>
        <w:rPr>
          <w:b/>
          <w:sz w:val="22"/>
        </w:rPr>
        <w:t xml:space="preserve">Q5:  </w:t>
      </w:r>
      <w:r w:rsidRPr="00CF43EB">
        <w:rPr>
          <w:b/>
          <w:sz w:val="22"/>
        </w:rPr>
        <w:t>There are a lot of orders on that backlog, how will they all be prioritized for the high priority commands?</w:t>
      </w:r>
    </w:p>
    <w:p w:rsidR="00A470E2" w:rsidRPr="00CF43EB" w:rsidRDefault="00A470E2" w:rsidP="00A470E2">
      <w:pPr>
        <w:rPr>
          <w:b/>
          <w:sz w:val="6"/>
          <w:szCs w:val="6"/>
        </w:rPr>
      </w:pPr>
    </w:p>
    <w:p w:rsidR="00096B5B" w:rsidRDefault="00A470E2">
      <w:pPr>
        <w:rPr>
          <w:sz w:val="22"/>
        </w:rPr>
      </w:pPr>
      <w:r>
        <w:rPr>
          <w:sz w:val="22"/>
        </w:rPr>
        <w:t xml:space="preserve">A5:  </w:t>
      </w:r>
      <w:r w:rsidRPr="00CF43EB">
        <w:rPr>
          <w:sz w:val="22"/>
        </w:rPr>
        <w:t xml:space="preserve">Sailors transferring to a high priority command will move first and Sailors transferring from high priority commands, regardless of their original estimated departure date, will likely be extended up </w:t>
      </w:r>
      <w:r>
        <w:rPr>
          <w:sz w:val="22"/>
        </w:rPr>
        <w:t>to six months to enable a face-to-</w:t>
      </w:r>
      <w:r w:rsidRPr="00CF43EB">
        <w:rPr>
          <w:sz w:val="22"/>
        </w:rPr>
        <w:t>face turnover.  A key tactic in maintaining fleet readiness is to maximize face-to-face turnovers for officers and Sailors in operational sea duty billets. A potential outcome is extending Sailors on sea duty and/or shortening Sailors’ shore duty tours by up to six months.  Impacts to gaining and losing commands, Sailor hardships, and regional COVID-19 recovery timelines will all be factored into the detailing process.  NPC may need to increase the number of same geographic location moves and renegotiate already-released orders to maximize readiness of operational sea duty commands and accession pipelines. For the extent of the COVID recovery, near-term readiness may eclipse career progression or duty station preference concerns.</w:t>
      </w:r>
      <w:r w:rsidR="00096B5B">
        <w:rPr>
          <w:sz w:val="22"/>
        </w:rPr>
        <w:br w:type="page"/>
      </w:r>
    </w:p>
    <w:p w:rsidR="00A470E2" w:rsidRPr="00096B5B" w:rsidRDefault="00A470E2" w:rsidP="00A470E2">
      <w:pPr>
        <w:rPr>
          <w:sz w:val="6"/>
          <w:szCs w:val="6"/>
        </w:rPr>
      </w:pPr>
    </w:p>
    <w:p w:rsidR="00A470E2" w:rsidRPr="00CF43EB" w:rsidRDefault="00A470E2" w:rsidP="00A470E2">
      <w:pPr>
        <w:rPr>
          <w:b/>
          <w:sz w:val="22"/>
        </w:rPr>
      </w:pPr>
      <w:r>
        <w:rPr>
          <w:b/>
          <w:sz w:val="22"/>
        </w:rPr>
        <w:t xml:space="preserve">Q6:  If sea duty is </w:t>
      </w:r>
      <w:r w:rsidRPr="00CF43EB">
        <w:rPr>
          <w:b/>
          <w:sz w:val="22"/>
        </w:rPr>
        <w:t>the priority, what measures are being put in place to ensure that the billets aren’t gapped?</w:t>
      </w:r>
    </w:p>
    <w:p w:rsidR="00A470E2" w:rsidRPr="00CF43EB" w:rsidRDefault="00A470E2" w:rsidP="00A470E2">
      <w:pPr>
        <w:rPr>
          <w:b/>
          <w:sz w:val="6"/>
          <w:szCs w:val="6"/>
        </w:rPr>
      </w:pPr>
    </w:p>
    <w:p w:rsidR="00A470E2" w:rsidRPr="00CF43EB" w:rsidRDefault="00A470E2" w:rsidP="00A470E2">
      <w:pPr>
        <w:rPr>
          <w:sz w:val="22"/>
        </w:rPr>
      </w:pPr>
      <w:r>
        <w:rPr>
          <w:sz w:val="22"/>
        </w:rPr>
        <w:t xml:space="preserve">A6:  </w:t>
      </w:r>
      <w:r w:rsidRPr="00CF43EB">
        <w:rPr>
          <w:sz w:val="22"/>
        </w:rPr>
        <w:t>NPC will use every option available to maintain fleet readiness. Options to maintain readiness include prioritizing all PCS moves based on the priority of the billet, incentivizing sea duty, and adjusting the officer or enlisted Sailor’s projected detachment date. Additionally, during these unusual circumstances, enlisted Sailors who are transferring to a</w:t>
      </w:r>
      <w:r>
        <w:rPr>
          <w:sz w:val="22"/>
        </w:rPr>
        <w:t xml:space="preserve"> sea duty billet in a</w:t>
      </w:r>
      <w:r w:rsidRPr="00CF43EB">
        <w:rPr>
          <w:sz w:val="22"/>
        </w:rPr>
        <w:t xml:space="preserve"> </w:t>
      </w:r>
      <w:r>
        <w:rPr>
          <w:sz w:val="22"/>
        </w:rPr>
        <w:t xml:space="preserve">high priority command </w:t>
      </w:r>
      <w:r w:rsidRPr="0029488C">
        <w:rPr>
          <w:sz w:val="22"/>
        </w:rPr>
        <w:t xml:space="preserve">will receive one-on-one detailing </w:t>
      </w:r>
      <w:r>
        <w:rPr>
          <w:sz w:val="22"/>
        </w:rPr>
        <w:t xml:space="preserve">to </w:t>
      </w:r>
      <w:r w:rsidRPr="00CF43EB">
        <w:rPr>
          <w:sz w:val="22"/>
        </w:rPr>
        <w:t xml:space="preserve">ensure a face-to-face turnover.  </w:t>
      </w:r>
    </w:p>
    <w:p w:rsidR="00A470E2" w:rsidRPr="00CF43EB" w:rsidRDefault="00A470E2" w:rsidP="00A470E2">
      <w:pPr>
        <w:rPr>
          <w:sz w:val="22"/>
        </w:rPr>
      </w:pPr>
    </w:p>
    <w:p w:rsidR="00A470E2" w:rsidRPr="00CF43EB" w:rsidRDefault="00A470E2" w:rsidP="00A470E2">
      <w:pPr>
        <w:rPr>
          <w:b/>
          <w:sz w:val="22"/>
        </w:rPr>
      </w:pPr>
      <w:r>
        <w:rPr>
          <w:b/>
          <w:sz w:val="22"/>
        </w:rPr>
        <w:t xml:space="preserve">Q7:  </w:t>
      </w:r>
      <w:r w:rsidRPr="00CF43EB">
        <w:rPr>
          <w:b/>
          <w:sz w:val="22"/>
        </w:rPr>
        <w:t>What about the impact on the Sailor? How are they being compensated?</w:t>
      </w:r>
    </w:p>
    <w:p w:rsidR="00A470E2" w:rsidRPr="00CF43EB" w:rsidRDefault="00A470E2" w:rsidP="00A470E2">
      <w:pPr>
        <w:rPr>
          <w:b/>
          <w:sz w:val="6"/>
          <w:szCs w:val="6"/>
        </w:rPr>
      </w:pPr>
    </w:p>
    <w:p w:rsidR="00A470E2" w:rsidRPr="00CF43EB" w:rsidRDefault="00A470E2" w:rsidP="00A470E2">
      <w:pPr>
        <w:rPr>
          <w:sz w:val="22"/>
        </w:rPr>
      </w:pPr>
      <w:r>
        <w:rPr>
          <w:sz w:val="22"/>
        </w:rPr>
        <w:t xml:space="preserve">A7:  </w:t>
      </w:r>
      <w:r w:rsidRPr="00CF43EB">
        <w:rPr>
          <w:sz w:val="22"/>
        </w:rPr>
        <w:t xml:space="preserve">This is an unprecedented time for our nation and our Navy and the need for skilled professional Sailors at sea is critical.  The emphasis on operational readiness and unit prioritization reflects our identity as a Sea Service and focusing on filling billets at sea is critical to preserving the readiness of the fleet. Extending at sea not only benefits the Navy, it benefits the Sailor.  A new Assignment Incentive Pay to compensate those Sailors extended greater than 6 months beyond their PRD has been proposed by Navy.  Sailors that are in Sea Duty Incentive Pay (SDIP) eligible skills and extend for 12 months or more may receive SDIP.  A list of eligible skills can be found at https://www.mnp.navy.mil/group/pay-and-benefits.  More information is available in NAVADMIN 132/20. </w:t>
      </w:r>
    </w:p>
    <w:p w:rsidR="00A470E2" w:rsidRDefault="00A470E2" w:rsidP="00A470E2">
      <w:pPr>
        <w:rPr>
          <w:sz w:val="22"/>
        </w:rPr>
      </w:pPr>
    </w:p>
    <w:p w:rsidR="00A470E2" w:rsidRPr="00CF43EB" w:rsidRDefault="00A470E2" w:rsidP="00A470E2">
      <w:pPr>
        <w:rPr>
          <w:b/>
          <w:sz w:val="22"/>
        </w:rPr>
      </w:pPr>
      <w:r>
        <w:rPr>
          <w:b/>
          <w:sz w:val="22"/>
        </w:rPr>
        <w:t xml:space="preserve">Q8:  </w:t>
      </w:r>
      <w:r w:rsidRPr="00CF43EB">
        <w:rPr>
          <w:b/>
          <w:sz w:val="22"/>
        </w:rPr>
        <w:t>Why are Sailors who only extend up to 6 months not given an incentive?</w:t>
      </w:r>
    </w:p>
    <w:p w:rsidR="00A470E2" w:rsidRPr="00CF43EB" w:rsidRDefault="00A470E2" w:rsidP="00A470E2">
      <w:pPr>
        <w:rPr>
          <w:b/>
          <w:sz w:val="6"/>
          <w:szCs w:val="6"/>
        </w:rPr>
      </w:pPr>
    </w:p>
    <w:p w:rsidR="00A470E2" w:rsidRPr="00CF43EB" w:rsidRDefault="00A470E2" w:rsidP="00A470E2">
      <w:pPr>
        <w:rPr>
          <w:sz w:val="22"/>
        </w:rPr>
      </w:pPr>
      <w:r>
        <w:rPr>
          <w:sz w:val="22"/>
        </w:rPr>
        <w:t xml:space="preserve">A8:  </w:t>
      </w:r>
      <w:r w:rsidRPr="00CF43EB">
        <w:rPr>
          <w:sz w:val="22"/>
        </w:rPr>
        <w:t>Due to current policy (NAVADMIN 058/14), extensions of 0-6 months do not qualify for incentives as that is within the normal flexibility authorized for detailing fleet vacancies.</w:t>
      </w:r>
    </w:p>
    <w:p w:rsidR="00A470E2" w:rsidRPr="00CF43EB" w:rsidRDefault="00A470E2" w:rsidP="00A470E2">
      <w:pPr>
        <w:rPr>
          <w:sz w:val="22"/>
        </w:rPr>
      </w:pPr>
    </w:p>
    <w:p w:rsidR="00A470E2" w:rsidRPr="00CF43EB" w:rsidRDefault="00A470E2" w:rsidP="00A470E2">
      <w:pPr>
        <w:rPr>
          <w:b/>
          <w:sz w:val="22"/>
        </w:rPr>
      </w:pPr>
      <w:r>
        <w:rPr>
          <w:b/>
          <w:sz w:val="22"/>
        </w:rPr>
        <w:t xml:space="preserve">Q9:  </w:t>
      </w:r>
      <w:r w:rsidRPr="00CF43EB">
        <w:rPr>
          <w:b/>
          <w:sz w:val="22"/>
        </w:rPr>
        <w:t>Is there any flexibility for Sailors who have dependents in school or have other restraints from moving at a specific time?</w:t>
      </w:r>
    </w:p>
    <w:p w:rsidR="00A470E2" w:rsidRPr="00CF43EB" w:rsidRDefault="00A470E2" w:rsidP="00A470E2">
      <w:pPr>
        <w:rPr>
          <w:b/>
          <w:sz w:val="6"/>
          <w:szCs w:val="6"/>
        </w:rPr>
      </w:pPr>
    </w:p>
    <w:p w:rsidR="00A470E2" w:rsidRDefault="00A470E2" w:rsidP="00A470E2">
      <w:pPr>
        <w:rPr>
          <w:sz w:val="22"/>
        </w:rPr>
      </w:pPr>
      <w:r>
        <w:rPr>
          <w:sz w:val="22"/>
        </w:rPr>
        <w:t xml:space="preserve">A9:  </w:t>
      </w:r>
      <w:r w:rsidRPr="00CF43EB">
        <w:rPr>
          <w:sz w:val="22"/>
        </w:rPr>
        <w:t>To add flexibility, Sailors with dependents will be authorized to delay dependent travel (DDT) up to 180 days</w:t>
      </w:r>
      <w:r>
        <w:rPr>
          <w:sz w:val="22"/>
        </w:rPr>
        <w:t xml:space="preserve">.  Service </w:t>
      </w:r>
      <w:r w:rsidRPr="00CF43EB">
        <w:rPr>
          <w:sz w:val="22"/>
        </w:rPr>
        <w:t xml:space="preserve">members with dependents in school (K-12) will be authorized DDT until the end of </w:t>
      </w:r>
      <w:r>
        <w:rPr>
          <w:sz w:val="22"/>
        </w:rPr>
        <w:t>the school year or 30 June 2021</w:t>
      </w:r>
      <w:r w:rsidR="002C34FB">
        <w:rPr>
          <w:sz w:val="22"/>
        </w:rPr>
        <w:t>,</w:t>
      </w:r>
      <w:bookmarkStart w:id="0" w:name="_GoBack"/>
      <w:bookmarkEnd w:id="0"/>
      <w:r w:rsidRPr="00CF43EB">
        <w:rPr>
          <w:sz w:val="22"/>
        </w:rPr>
        <w:t xml:space="preserve"> whichever occurs first.   </w:t>
      </w:r>
    </w:p>
    <w:p w:rsidR="00A470E2" w:rsidRPr="00CF43EB" w:rsidRDefault="00A470E2" w:rsidP="00A470E2">
      <w:pPr>
        <w:rPr>
          <w:sz w:val="22"/>
        </w:rPr>
      </w:pPr>
    </w:p>
    <w:p w:rsidR="00A470E2" w:rsidRPr="00CF43EB" w:rsidRDefault="00A470E2" w:rsidP="00A470E2">
      <w:pPr>
        <w:rPr>
          <w:b/>
          <w:sz w:val="22"/>
        </w:rPr>
      </w:pPr>
      <w:r>
        <w:rPr>
          <w:b/>
          <w:sz w:val="22"/>
        </w:rPr>
        <w:t xml:space="preserve">Q10:  </w:t>
      </w:r>
      <w:r w:rsidRPr="00CF43EB">
        <w:rPr>
          <w:b/>
          <w:sz w:val="22"/>
        </w:rPr>
        <w:t>What happens to a Sailor who has orders in the fall? Are they safe from these changes?</w:t>
      </w:r>
    </w:p>
    <w:p w:rsidR="00A470E2" w:rsidRPr="00CF43EB" w:rsidRDefault="00A470E2" w:rsidP="00A470E2">
      <w:pPr>
        <w:rPr>
          <w:b/>
          <w:sz w:val="6"/>
          <w:szCs w:val="6"/>
        </w:rPr>
      </w:pPr>
    </w:p>
    <w:p w:rsidR="00A470E2" w:rsidRDefault="00A470E2" w:rsidP="00A470E2">
      <w:pPr>
        <w:rPr>
          <w:sz w:val="22"/>
        </w:rPr>
      </w:pPr>
      <w:r>
        <w:rPr>
          <w:sz w:val="22"/>
        </w:rPr>
        <w:t xml:space="preserve">A10:  </w:t>
      </w:r>
      <w:r w:rsidRPr="00CF43EB">
        <w:rPr>
          <w:sz w:val="22"/>
        </w:rPr>
        <w:t>Officers and enlisted with rotation dates in October 2020 and beyond will need to work with their detailer to ensure a relief has been identified and a face- to- face turnover is possible with the current orders.  Orders may be adjusted up to six months to ensure a face-to-face turnover occurs. In some instances, orders may need to be re-negotiated to emphasize orders to higher priority units, accession pipeline units, or same geographic location.</w:t>
      </w:r>
    </w:p>
    <w:p w:rsidR="00D123E0" w:rsidRPr="00CF43EB" w:rsidRDefault="00D123E0" w:rsidP="00A470E2">
      <w:pPr>
        <w:rPr>
          <w:sz w:val="22"/>
        </w:rPr>
      </w:pPr>
    </w:p>
    <w:p w:rsidR="000F0A4B" w:rsidRDefault="000F0A4B" w:rsidP="00D05A17">
      <w:pPr>
        <w:rPr>
          <w:rFonts w:ascii="Cambria" w:hAnsi="Cambria"/>
          <w:sz w:val="12"/>
          <w:szCs w:val="12"/>
        </w:rPr>
      </w:pPr>
    </w:p>
    <w:p w:rsidR="00096B5B" w:rsidRDefault="00096B5B" w:rsidP="00D05A17">
      <w:pPr>
        <w:rPr>
          <w:rFonts w:ascii="Cambria" w:hAnsi="Cambria"/>
          <w:sz w:val="12"/>
          <w:szCs w:val="12"/>
        </w:rPr>
      </w:pPr>
    </w:p>
    <w:sectPr w:rsidR="00096B5B" w:rsidSect="00A470E2">
      <w:headerReference w:type="default" r:id="rId11"/>
      <w:footerReference w:type="default" r:id="rId12"/>
      <w:pgSz w:w="12240" w:h="15840"/>
      <w:pgMar w:top="504" w:right="504" w:bottom="504" w:left="50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2495" w:rsidRDefault="00CA2495" w:rsidP="00A470E2">
      <w:pPr>
        <w:spacing w:line="240" w:lineRule="auto"/>
      </w:pPr>
      <w:r>
        <w:separator/>
      </w:r>
    </w:p>
  </w:endnote>
  <w:endnote w:type="continuationSeparator" w:id="0">
    <w:p w:rsidR="00CA2495" w:rsidRDefault="00CA2495" w:rsidP="00A470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24C" w:rsidRDefault="00A2724C" w:rsidP="00A2724C">
    <w:pPr>
      <w:rPr>
        <w:rFonts w:ascii="Cambria" w:hAnsi="Cambria"/>
        <w:sz w:val="12"/>
        <w:szCs w:val="12"/>
      </w:rPr>
    </w:pPr>
  </w:p>
  <w:p w:rsidR="00A2724C" w:rsidRDefault="00A2724C" w:rsidP="00A2724C">
    <w:pPr>
      <w:rPr>
        <w:rFonts w:ascii="Cambria" w:hAnsi="Cambria"/>
        <w:sz w:val="12"/>
        <w:szCs w:val="12"/>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22"/>
    </w:tblGrid>
    <w:tr w:rsidR="00A2724C" w:rsidTr="00A2724C">
      <w:tc>
        <w:tcPr>
          <w:tcW w:w="11222" w:type="dxa"/>
          <w:shd w:val="clear" w:color="auto" w:fill="E8B010"/>
          <w:vAlign w:val="bottom"/>
        </w:tcPr>
        <w:p w:rsidR="00A2724C" w:rsidRDefault="00A2724C" w:rsidP="00A2724C">
          <w:pPr>
            <w:rPr>
              <w:rFonts w:ascii="Cambria" w:hAnsi="Cambria"/>
              <w:sz w:val="12"/>
              <w:szCs w:val="12"/>
            </w:rPr>
          </w:pPr>
        </w:p>
      </w:tc>
    </w:tr>
  </w:tbl>
  <w:p w:rsidR="00A2724C" w:rsidRDefault="00A2724C" w:rsidP="00A272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2495" w:rsidRDefault="00CA2495" w:rsidP="00A470E2">
      <w:pPr>
        <w:spacing w:line="240" w:lineRule="auto"/>
      </w:pPr>
      <w:r>
        <w:separator/>
      </w:r>
    </w:p>
  </w:footnote>
  <w:footnote w:type="continuationSeparator" w:id="0">
    <w:p w:rsidR="00CA2495" w:rsidRDefault="00CA2495" w:rsidP="00A470E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2"/>
      <w:tblW w:w="0" w:type="auto"/>
      <w:tblLook w:val="04A0" w:firstRow="1" w:lastRow="0" w:firstColumn="1" w:lastColumn="0" w:noHBand="0" w:noVBand="1"/>
    </w:tblPr>
    <w:tblGrid>
      <w:gridCol w:w="10790"/>
    </w:tblGrid>
    <w:tr w:rsidR="00A470E2" w:rsidRPr="004D220C" w:rsidTr="0016443D">
      <w:trPr>
        <w:trHeight w:val="533"/>
      </w:trPr>
      <w:tc>
        <w:tcPr>
          <w:tcW w:w="10790" w:type="dxa"/>
          <w:shd w:val="clear" w:color="auto" w:fill="00273B"/>
          <w:vAlign w:val="center"/>
        </w:tcPr>
        <w:p w:rsidR="00A470E2" w:rsidRPr="005F6BF9" w:rsidRDefault="00A470E2" w:rsidP="00A470E2">
          <w:pPr>
            <w:jc w:val="center"/>
            <w:rPr>
              <w:rFonts w:ascii="Cambria" w:hAnsi="Cambria"/>
              <w:b/>
              <w:spacing w:val="20"/>
              <w:szCs w:val="24"/>
            </w:rPr>
          </w:pPr>
          <w:r w:rsidRPr="005F6BF9">
            <w:rPr>
              <w:rFonts w:ascii="Cambria" w:hAnsi="Cambria"/>
              <w:b/>
              <w:color w:val="E8B010"/>
              <w:spacing w:val="20"/>
              <w:szCs w:val="24"/>
            </w:rPr>
            <w:t xml:space="preserve">Permanent Change of Station </w:t>
          </w:r>
          <w:r w:rsidRPr="005F6BF9">
            <w:rPr>
              <w:rFonts w:ascii="Cambria" w:hAnsi="Cambria"/>
              <w:b/>
              <w:color w:val="E8B010"/>
              <w:spacing w:val="20"/>
              <w:sz w:val="22"/>
            </w:rPr>
            <w:t>(PCS)</w:t>
          </w:r>
          <w:r w:rsidRPr="005F6BF9">
            <w:rPr>
              <w:rFonts w:ascii="Cambria" w:hAnsi="Cambria"/>
              <w:b/>
              <w:color w:val="E8B010"/>
              <w:spacing w:val="20"/>
              <w:szCs w:val="24"/>
            </w:rPr>
            <w:t xml:space="preserve"> RESTART</w:t>
          </w:r>
        </w:p>
      </w:tc>
    </w:tr>
    <w:tr w:rsidR="00A470E2" w:rsidRPr="004D220C" w:rsidTr="00096B5B">
      <w:trPr>
        <w:trHeight w:val="353"/>
      </w:trPr>
      <w:tc>
        <w:tcPr>
          <w:tcW w:w="10790" w:type="dxa"/>
          <w:shd w:val="clear" w:color="auto" w:fill="E8B010"/>
        </w:tcPr>
        <w:p w:rsidR="00A470E2" w:rsidRPr="005F6BF9" w:rsidRDefault="00A470E2" w:rsidP="00A470E2">
          <w:pPr>
            <w:jc w:val="center"/>
            <w:rPr>
              <w:rFonts w:ascii="Cambria" w:hAnsi="Cambria"/>
              <w:b/>
              <w:spacing w:val="20"/>
              <w:sz w:val="22"/>
            </w:rPr>
          </w:pPr>
          <w:r w:rsidRPr="005F6BF9">
            <w:rPr>
              <w:rFonts w:ascii="Cambria" w:hAnsi="Cambria"/>
              <w:b/>
              <w:spacing w:val="20"/>
              <w:sz w:val="22"/>
            </w:rPr>
            <w:t>~ Questions &amp; Answers ~</w:t>
          </w:r>
        </w:p>
      </w:tc>
    </w:tr>
  </w:tbl>
  <w:p w:rsidR="00A470E2" w:rsidRDefault="00A470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B1750"/>
    <w:multiLevelType w:val="hybridMultilevel"/>
    <w:tmpl w:val="11AAF0BE"/>
    <w:lvl w:ilvl="0" w:tplc="568C949E">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0477C5"/>
    <w:multiLevelType w:val="hybridMultilevel"/>
    <w:tmpl w:val="27F09E3C"/>
    <w:lvl w:ilvl="0" w:tplc="189436F0">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572E1A"/>
    <w:multiLevelType w:val="hybridMultilevel"/>
    <w:tmpl w:val="9C2E4186"/>
    <w:lvl w:ilvl="0" w:tplc="2C066D86">
      <w:start w:val="1"/>
      <w:numFmt w:val="bullet"/>
      <w:lvlText w:val=""/>
      <w:lvlJc w:val="left"/>
      <w:pPr>
        <w:ind w:left="216"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FB20FD"/>
    <w:multiLevelType w:val="hybridMultilevel"/>
    <w:tmpl w:val="972E3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9B2BDB"/>
    <w:multiLevelType w:val="hybridMultilevel"/>
    <w:tmpl w:val="72382BBE"/>
    <w:lvl w:ilvl="0" w:tplc="BA340732">
      <w:start w:val="1"/>
      <w:numFmt w:val="decimal"/>
      <w:lvlText w:val="%1."/>
      <w:lvlJc w:val="left"/>
      <w:pPr>
        <w:ind w:left="144" w:hanging="1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5E6F7A"/>
    <w:multiLevelType w:val="hybridMultilevel"/>
    <w:tmpl w:val="F6FA72C8"/>
    <w:lvl w:ilvl="0" w:tplc="568C949E">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900EF9"/>
    <w:multiLevelType w:val="hybridMultilevel"/>
    <w:tmpl w:val="3CB09FB2"/>
    <w:lvl w:ilvl="0" w:tplc="08CCE0AA">
      <w:start w:val="1"/>
      <w:numFmt w:val="bullet"/>
      <w:lvlText w:val="o"/>
      <w:lvlJc w:val="left"/>
      <w:pPr>
        <w:ind w:left="504" w:hanging="144"/>
      </w:pPr>
      <w:rPr>
        <w:rFonts w:ascii="Courier New" w:hAnsi="Courier New"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7" w15:restartNumberingAfterBreak="0">
    <w:nsid w:val="4C2E4B79"/>
    <w:multiLevelType w:val="hybridMultilevel"/>
    <w:tmpl w:val="2A1CF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5A2AAA"/>
    <w:multiLevelType w:val="hybridMultilevel"/>
    <w:tmpl w:val="D8DC1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D30F56"/>
    <w:multiLevelType w:val="hybridMultilevel"/>
    <w:tmpl w:val="FF2E2094"/>
    <w:lvl w:ilvl="0" w:tplc="BC048CD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D8394A"/>
    <w:multiLevelType w:val="hybridMultilevel"/>
    <w:tmpl w:val="22E8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DB471E"/>
    <w:multiLevelType w:val="hybridMultilevel"/>
    <w:tmpl w:val="115E9CA6"/>
    <w:lvl w:ilvl="0" w:tplc="1FE282FE">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D2D1368"/>
    <w:multiLevelType w:val="hybridMultilevel"/>
    <w:tmpl w:val="59C8BDB0"/>
    <w:lvl w:ilvl="0" w:tplc="52BA10AC">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69205E"/>
    <w:multiLevelType w:val="hybridMultilevel"/>
    <w:tmpl w:val="EF2C0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4A1A17"/>
    <w:multiLevelType w:val="hybridMultilevel"/>
    <w:tmpl w:val="1CE011D8"/>
    <w:lvl w:ilvl="0" w:tplc="30E66CCA">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3A0D73"/>
    <w:multiLevelType w:val="hybridMultilevel"/>
    <w:tmpl w:val="45321AA4"/>
    <w:lvl w:ilvl="0" w:tplc="568C949E">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0"/>
  </w:num>
  <w:num w:numId="4">
    <w:abstractNumId w:val="3"/>
  </w:num>
  <w:num w:numId="5">
    <w:abstractNumId w:val="11"/>
  </w:num>
  <w:num w:numId="6">
    <w:abstractNumId w:val="7"/>
  </w:num>
  <w:num w:numId="7">
    <w:abstractNumId w:val="9"/>
  </w:num>
  <w:num w:numId="8">
    <w:abstractNumId w:val="14"/>
  </w:num>
  <w:num w:numId="9">
    <w:abstractNumId w:val="6"/>
  </w:num>
  <w:num w:numId="10">
    <w:abstractNumId w:val="2"/>
  </w:num>
  <w:num w:numId="11">
    <w:abstractNumId w:val="10"/>
  </w:num>
  <w:num w:numId="12">
    <w:abstractNumId w:val="12"/>
  </w:num>
  <w:num w:numId="13">
    <w:abstractNumId w:val="13"/>
  </w:num>
  <w:num w:numId="14">
    <w:abstractNumId w:val="1"/>
  </w:num>
  <w:num w:numId="15">
    <w:abstractNumId w:val="5"/>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735"/>
    <w:rsid w:val="00005776"/>
    <w:rsid w:val="00006944"/>
    <w:rsid w:val="000572E2"/>
    <w:rsid w:val="00073F37"/>
    <w:rsid w:val="0008605E"/>
    <w:rsid w:val="00096B5B"/>
    <w:rsid w:val="000A0FED"/>
    <w:rsid w:val="000B73C1"/>
    <w:rsid w:val="000C5871"/>
    <w:rsid w:val="000F0A4B"/>
    <w:rsid w:val="000F69D4"/>
    <w:rsid w:val="00113735"/>
    <w:rsid w:val="00120DE0"/>
    <w:rsid w:val="00125A1F"/>
    <w:rsid w:val="001450BF"/>
    <w:rsid w:val="0016443D"/>
    <w:rsid w:val="0017717D"/>
    <w:rsid w:val="001C1017"/>
    <w:rsid w:val="001F154A"/>
    <w:rsid w:val="00241081"/>
    <w:rsid w:val="0024202E"/>
    <w:rsid w:val="00266C78"/>
    <w:rsid w:val="002836DE"/>
    <w:rsid w:val="00285160"/>
    <w:rsid w:val="00290729"/>
    <w:rsid w:val="00290874"/>
    <w:rsid w:val="002B647E"/>
    <w:rsid w:val="002C20D4"/>
    <w:rsid w:val="002C26C4"/>
    <w:rsid w:val="002C34FB"/>
    <w:rsid w:val="002E1A8B"/>
    <w:rsid w:val="003231C4"/>
    <w:rsid w:val="00330AB5"/>
    <w:rsid w:val="00336C4D"/>
    <w:rsid w:val="00346C45"/>
    <w:rsid w:val="003529F8"/>
    <w:rsid w:val="0035735D"/>
    <w:rsid w:val="00377230"/>
    <w:rsid w:val="00377C2E"/>
    <w:rsid w:val="003C6FF7"/>
    <w:rsid w:val="003D00AF"/>
    <w:rsid w:val="00404A91"/>
    <w:rsid w:val="004267D6"/>
    <w:rsid w:val="0048275E"/>
    <w:rsid w:val="00483F1F"/>
    <w:rsid w:val="00494B2C"/>
    <w:rsid w:val="004A104C"/>
    <w:rsid w:val="004A749D"/>
    <w:rsid w:val="004B7F27"/>
    <w:rsid w:val="004C2A07"/>
    <w:rsid w:val="004D220C"/>
    <w:rsid w:val="004F62D7"/>
    <w:rsid w:val="00504069"/>
    <w:rsid w:val="00505E8E"/>
    <w:rsid w:val="00522CE7"/>
    <w:rsid w:val="00540044"/>
    <w:rsid w:val="00546486"/>
    <w:rsid w:val="005715BC"/>
    <w:rsid w:val="00583741"/>
    <w:rsid w:val="005F1A65"/>
    <w:rsid w:val="005F4C6E"/>
    <w:rsid w:val="00606812"/>
    <w:rsid w:val="006563FD"/>
    <w:rsid w:val="00663269"/>
    <w:rsid w:val="0067123D"/>
    <w:rsid w:val="00681E59"/>
    <w:rsid w:val="00691E2E"/>
    <w:rsid w:val="00693D19"/>
    <w:rsid w:val="006A53CD"/>
    <w:rsid w:val="006C6906"/>
    <w:rsid w:val="006D15C2"/>
    <w:rsid w:val="00710CBC"/>
    <w:rsid w:val="00716F9C"/>
    <w:rsid w:val="007438F5"/>
    <w:rsid w:val="007642F4"/>
    <w:rsid w:val="007B3ECD"/>
    <w:rsid w:val="007B65DA"/>
    <w:rsid w:val="007E6B2A"/>
    <w:rsid w:val="008578CD"/>
    <w:rsid w:val="00860FA1"/>
    <w:rsid w:val="00883012"/>
    <w:rsid w:val="008B1332"/>
    <w:rsid w:val="008B4CA0"/>
    <w:rsid w:val="008E1D85"/>
    <w:rsid w:val="008E416E"/>
    <w:rsid w:val="00924E6E"/>
    <w:rsid w:val="009667D5"/>
    <w:rsid w:val="009B09BC"/>
    <w:rsid w:val="009B1910"/>
    <w:rsid w:val="009E42F4"/>
    <w:rsid w:val="009F13DF"/>
    <w:rsid w:val="00A10A8B"/>
    <w:rsid w:val="00A2724C"/>
    <w:rsid w:val="00A470E2"/>
    <w:rsid w:val="00A55062"/>
    <w:rsid w:val="00AC216C"/>
    <w:rsid w:val="00AC5B8C"/>
    <w:rsid w:val="00AD1007"/>
    <w:rsid w:val="00AD10EF"/>
    <w:rsid w:val="00B22D9B"/>
    <w:rsid w:val="00B30A97"/>
    <w:rsid w:val="00B6334D"/>
    <w:rsid w:val="00B73645"/>
    <w:rsid w:val="00BD3DCC"/>
    <w:rsid w:val="00C003E5"/>
    <w:rsid w:val="00C05132"/>
    <w:rsid w:val="00C4787A"/>
    <w:rsid w:val="00C61EC1"/>
    <w:rsid w:val="00C877E4"/>
    <w:rsid w:val="00CA2495"/>
    <w:rsid w:val="00CA45C5"/>
    <w:rsid w:val="00D01E5D"/>
    <w:rsid w:val="00D0375B"/>
    <w:rsid w:val="00D05A17"/>
    <w:rsid w:val="00D123E0"/>
    <w:rsid w:val="00D3193D"/>
    <w:rsid w:val="00D50251"/>
    <w:rsid w:val="00D569A7"/>
    <w:rsid w:val="00D909CF"/>
    <w:rsid w:val="00D92BFC"/>
    <w:rsid w:val="00D97624"/>
    <w:rsid w:val="00DA1227"/>
    <w:rsid w:val="00DA1FEE"/>
    <w:rsid w:val="00DA2773"/>
    <w:rsid w:val="00DA47B9"/>
    <w:rsid w:val="00DA56BB"/>
    <w:rsid w:val="00DC1121"/>
    <w:rsid w:val="00DD58A9"/>
    <w:rsid w:val="00DE059B"/>
    <w:rsid w:val="00E20DC9"/>
    <w:rsid w:val="00E414D3"/>
    <w:rsid w:val="00E42B5E"/>
    <w:rsid w:val="00E44780"/>
    <w:rsid w:val="00EB012B"/>
    <w:rsid w:val="00ED0016"/>
    <w:rsid w:val="00EE436C"/>
    <w:rsid w:val="00F03289"/>
    <w:rsid w:val="00F05925"/>
    <w:rsid w:val="00F10D3E"/>
    <w:rsid w:val="00F50E59"/>
    <w:rsid w:val="00F75A77"/>
    <w:rsid w:val="00F75CF3"/>
    <w:rsid w:val="00F76B15"/>
    <w:rsid w:val="00F802D9"/>
    <w:rsid w:val="00F8616F"/>
    <w:rsid w:val="00FE60CE"/>
    <w:rsid w:val="00FF04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82BE8"/>
  <w15:chartTrackingRefBased/>
  <w15:docId w15:val="{48BABCE2-7045-46EE-8D5D-AC3524912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2A07"/>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735"/>
    <w:pPr>
      <w:spacing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D58A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58A9"/>
    <w:rPr>
      <w:rFonts w:ascii="Segoe UI" w:hAnsi="Segoe UI" w:cs="Segoe UI"/>
      <w:sz w:val="18"/>
      <w:szCs w:val="18"/>
    </w:rPr>
  </w:style>
  <w:style w:type="paragraph" w:styleId="ListParagraph">
    <w:name w:val="List Paragraph"/>
    <w:basedOn w:val="Normal"/>
    <w:uiPriority w:val="34"/>
    <w:qFormat/>
    <w:rsid w:val="00120DE0"/>
    <w:pPr>
      <w:ind w:left="720"/>
      <w:contextualSpacing/>
    </w:pPr>
  </w:style>
  <w:style w:type="table" w:customStyle="1" w:styleId="TableGrid1">
    <w:name w:val="Table Grid1"/>
    <w:basedOn w:val="TableNormal"/>
    <w:next w:val="TableGrid"/>
    <w:uiPriority w:val="39"/>
    <w:rsid w:val="00DA277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D220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A47B9"/>
    <w:rPr>
      <w:color w:val="0563C1" w:themeColor="hyperlink"/>
      <w:u w:val="single"/>
    </w:rPr>
  </w:style>
  <w:style w:type="paragraph" w:styleId="Header">
    <w:name w:val="header"/>
    <w:basedOn w:val="Normal"/>
    <w:link w:val="HeaderChar"/>
    <w:uiPriority w:val="99"/>
    <w:unhideWhenUsed/>
    <w:rsid w:val="00A470E2"/>
    <w:pPr>
      <w:tabs>
        <w:tab w:val="center" w:pos="4680"/>
        <w:tab w:val="right" w:pos="9360"/>
      </w:tabs>
      <w:spacing w:line="240" w:lineRule="auto"/>
    </w:pPr>
  </w:style>
  <w:style w:type="character" w:customStyle="1" w:styleId="HeaderChar">
    <w:name w:val="Header Char"/>
    <w:basedOn w:val="DefaultParagraphFont"/>
    <w:link w:val="Header"/>
    <w:uiPriority w:val="99"/>
    <w:rsid w:val="00A470E2"/>
    <w:rPr>
      <w:rFonts w:ascii="Times New Roman" w:hAnsi="Times New Roman"/>
      <w:sz w:val="24"/>
    </w:rPr>
  </w:style>
  <w:style w:type="paragraph" w:styleId="Footer">
    <w:name w:val="footer"/>
    <w:basedOn w:val="Normal"/>
    <w:link w:val="FooterChar"/>
    <w:uiPriority w:val="99"/>
    <w:unhideWhenUsed/>
    <w:rsid w:val="00A470E2"/>
    <w:pPr>
      <w:tabs>
        <w:tab w:val="center" w:pos="4680"/>
        <w:tab w:val="right" w:pos="9360"/>
      </w:tabs>
      <w:spacing w:line="240" w:lineRule="auto"/>
    </w:pPr>
  </w:style>
  <w:style w:type="character" w:customStyle="1" w:styleId="FooterChar">
    <w:name w:val="Footer Char"/>
    <w:basedOn w:val="DefaultParagraphFont"/>
    <w:link w:val="Footer"/>
    <w:uiPriority w:val="99"/>
    <w:rsid w:val="00A470E2"/>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media.defense.gov/2020/May/26/2002305766/-1/-1/1/TRANSITION-TO-CONDITIONS-BASED-PHASED-APPROACH-TO-%20COVID-19-PERSONNEL-MOVEMENT-AND-TRAVEL-RESTRICTIONS.PDF" TargetMode="External"/><Relationship Id="rId4" Type="http://schemas.openxmlformats.org/officeDocument/2006/relationships/settings" Target="settings.xml"/><Relationship Id="rId9" Type="http://schemas.openxmlformats.org/officeDocument/2006/relationships/hyperlink" Target="https://www.public.navy.mil/bupers-npc/reference/messages/Documents/NAVADMINS/NAV2020/NAV20169.tx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24FB7-8035-4C76-9473-0DD40BBA4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1774</Words>
  <Characters>10117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HPES NMCI NGEN</Company>
  <LinksUpToDate>false</LinksUpToDate>
  <CharactersWithSpaces>11868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Celotto, Susan Eb CIV NPC, PERS-00P</dc:creator>
  <cp:keywords/>
  <dc:description/>
  <cp:lastModifiedBy>Kemp, David S CAPT USN DCNO N1 (USA)</cp:lastModifiedBy>
  <cp:revision>2</cp:revision>
  <cp:lastPrinted>2020-06-15T13:51:00Z</cp:lastPrinted>
  <dcterms:created xsi:type="dcterms:W3CDTF">2020-06-15T16:54:00Z</dcterms:created>
  <dcterms:modified xsi:type="dcterms:W3CDTF">2020-06-15T16:54:00Z</dcterms:modified>
</cp:coreProperties>
</file>